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single" w:color="DCDCDC" w:sz="6" w:space="18"/>
          <w:right w:val="none" w:color="auto" w:sz="0" w:space="0"/>
        </w:pBdr>
        <w:spacing w:before="0" w:beforeAutospacing="0" w:after="0" w:afterAutospacing="0" w:line="825" w:lineRule="atLeast"/>
        <w:ind w:left="0" w:right="0" w:firstLine="0"/>
        <w:jc w:val="center"/>
        <w:rPr>
          <w:rFonts w:ascii="Helvetica" w:hAnsi="Helvetica" w:eastAsia="Helvetica" w:cs="Helvetica"/>
          <w:b/>
          <w:i w:val="0"/>
          <w:caps w:val="0"/>
          <w:color w:val="262626"/>
          <w:spacing w:val="0"/>
          <w:sz w:val="54"/>
          <w:szCs w:val="54"/>
        </w:rPr>
      </w:pPr>
      <w:r>
        <w:rPr>
          <w:rFonts w:hint="default" w:ascii="Helvetica" w:hAnsi="Helvetica" w:eastAsia="Helvetica" w:cs="Helvetica"/>
          <w:b/>
          <w:i w:val="0"/>
          <w:caps w:val="0"/>
          <w:color w:val="262626"/>
          <w:spacing w:val="0"/>
          <w:kern w:val="0"/>
          <w:sz w:val="54"/>
          <w:szCs w:val="54"/>
          <w:bdr w:val="none" w:color="auto" w:sz="0" w:space="0"/>
          <w:lang w:val="en-US" w:eastAsia="zh-CN" w:bidi="ar"/>
        </w:rPr>
        <w:t>国务院关于推广中国（上海）自由贸易试验区可复制改革试点经验的通知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center"/>
        <w:rPr>
          <w:color w:val="262626"/>
        </w:rPr>
      </w:pPr>
      <w:r>
        <w:rPr>
          <w:rFonts w:ascii="仿宋_GB2312" w:hAnsi="仿宋_GB2312" w:eastAsia="仿宋_GB2312" w:cs="仿宋_GB2312"/>
          <w:i w:val="0"/>
          <w:caps w:val="0"/>
          <w:color w:val="262626"/>
          <w:spacing w:val="0"/>
          <w:sz w:val="24"/>
          <w:szCs w:val="24"/>
          <w:bdr w:val="none" w:color="auto" w:sz="0" w:space="0"/>
        </w:rPr>
        <w:br w:type="textWrapping"/>
      </w:r>
      <w:r>
        <w:rPr>
          <w:rStyle w:val="5"/>
          <w:rFonts w:hint="default" w:ascii="Helvetica" w:hAnsi="Helvetica" w:eastAsia="Helvetica" w:cs="Helvetica"/>
          <w:b/>
          <w:i w:val="0"/>
          <w:caps w:val="0"/>
          <w:color w:val="262626"/>
          <w:spacing w:val="0"/>
          <w:sz w:val="24"/>
          <w:szCs w:val="24"/>
          <w:bdr w:val="none" w:color="auto" w:sz="0" w:space="0"/>
        </w:rPr>
        <w:t>国发〔2014〕65号</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color w:val="262626"/>
        </w:rPr>
      </w:pPr>
      <w:r>
        <w:rPr>
          <w:rFonts w:hint="default" w:ascii="Helvetica" w:hAnsi="Helvetica" w:eastAsia="Helvetica" w:cs="Helvetica"/>
          <w:i w:val="0"/>
          <w:caps w:val="0"/>
          <w:color w:val="262626"/>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color w:val="262626"/>
        </w:rPr>
      </w:pPr>
      <w:r>
        <w:rPr>
          <w:rFonts w:hint="eastAsia" w:ascii="仿宋_GB2312" w:hAnsi="仿宋_GB2312" w:eastAsia="仿宋_GB2312" w:cs="仿宋_GB2312"/>
          <w:i w:val="0"/>
          <w:caps w:val="0"/>
          <w:color w:val="262626"/>
          <w:spacing w:val="0"/>
          <w:sz w:val="24"/>
          <w:szCs w:val="24"/>
          <w:bdr w:val="none" w:color="auto" w:sz="0" w:space="0"/>
        </w:rPr>
        <w:t>各省、自治区、直辖市人民政府，国务院各部委、各直属机构：</w:t>
      </w:r>
      <w:bookmarkStart w:id="0" w:name="_GoBack"/>
      <w:bookmarkEnd w:id="0"/>
      <w:r>
        <w:rPr>
          <w:rFonts w:hint="eastAsia" w:ascii="仿宋_GB2312" w:hAnsi="仿宋_GB2312" w:eastAsia="仿宋_GB2312" w:cs="仿宋_GB2312"/>
          <w:i w:val="0"/>
          <w:caps w:val="0"/>
          <w:color w:val="262626"/>
          <w:spacing w:val="0"/>
          <w:sz w:val="24"/>
          <w:szCs w:val="24"/>
          <w:bdr w:val="none" w:color="auto" w:sz="0" w:space="0"/>
        </w:rPr>
        <w:br w:type="textWrapping"/>
      </w:r>
      <w:r>
        <w:rPr>
          <w:rFonts w:hint="eastAsia" w:ascii="仿宋_GB2312" w:hAnsi="仿宋_GB2312" w:eastAsia="仿宋_GB2312" w:cs="仿宋_GB2312"/>
          <w:i w:val="0"/>
          <w:caps w:val="0"/>
          <w:color w:val="262626"/>
          <w:spacing w:val="0"/>
          <w:sz w:val="24"/>
          <w:szCs w:val="24"/>
          <w:bdr w:val="none" w:color="auto" w:sz="0" w:space="0"/>
        </w:rPr>
        <w:t>　　设立中国（上海）自由贸易试验区（以下简称上海自贸试验区）是党中央、国务院作出的重大决策。上海自贸试验区成立一年多来，上海市和有关部门以简政放权、放管结合的制度创新为核心，加快政府职能转变，探索体制机制创新，在建立以负面清单管理为核心的外商投资管理制度、以贸易便利化为重点的贸易监管制度、以资本项目可兑换和金融服务业开放为目标的金融创新制度、以政府职能转变为核心的事中事后监管制度等方面，形成了一批可复制、可推广的改革创新成果。经党中央、国务院批准，上海自贸试验区的可复制改革试点经验将在全国范围内推广。现就有关事项通知如下：</w:t>
      </w:r>
      <w:r>
        <w:rPr>
          <w:rFonts w:hint="eastAsia" w:ascii="仿宋_GB2312" w:hAnsi="仿宋_GB2312" w:eastAsia="仿宋_GB2312" w:cs="仿宋_GB2312"/>
          <w:i w:val="0"/>
          <w:caps w:val="0"/>
          <w:color w:val="262626"/>
          <w:spacing w:val="0"/>
          <w:sz w:val="24"/>
          <w:szCs w:val="24"/>
          <w:bdr w:val="none" w:color="auto" w:sz="0" w:space="0"/>
        </w:rPr>
        <w:br w:type="textWrapping"/>
      </w:r>
      <w:r>
        <w:rPr>
          <w:rFonts w:hint="eastAsia" w:ascii="仿宋_GB2312" w:hAnsi="仿宋_GB2312" w:eastAsia="仿宋_GB2312" w:cs="仿宋_GB2312"/>
          <w:i w:val="0"/>
          <w:caps w:val="0"/>
          <w:color w:val="262626"/>
          <w:spacing w:val="0"/>
          <w:sz w:val="24"/>
          <w:szCs w:val="24"/>
          <w:bdr w:val="none" w:color="auto" w:sz="0" w:space="0"/>
        </w:rPr>
        <w:t>　</w:t>
      </w:r>
      <w:r>
        <w:rPr>
          <w:rFonts w:hint="default" w:ascii="Helvetica" w:hAnsi="Helvetica" w:eastAsia="Helvetica" w:cs="Helvetica"/>
          <w:i w:val="0"/>
          <w:caps w:val="0"/>
          <w:color w:val="262626"/>
          <w:spacing w:val="0"/>
          <w:sz w:val="24"/>
          <w:szCs w:val="24"/>
          <w:bdr w:val="none" w:color="auto" w:sz="0" w:space="0"/>
        </w:rPr>
        <w:t>　一、可复制推广的主要内容</w:t>
      </w:r>
      <w:r>
        <w:rPr>
          <w:rFonts w:hint="eastAsia" w:ascii="仿宋_GB2312" w:hAnsi="仿宋_GB2312" w:eastAsia="仿宋_GB2312" w:cs="仿宋_GB2312"/>
          <w:i w:val="0"/>
          <w:caps w:val="0"/>
          <w:color w:val="262626"/>
          <w:spacing w:val="0"/>
          <w:sz w:val="24"/>
          <w:szCs w:val="24"/>
          <w:bdr w:val="none" w:color="auto" w:sz="0" w:space="0"/>
        </w:rPr>
        <w:br w:type="textWrapping"/>
      </w:r>
      <w:r>
        <w:rPr>
          <w:rFonts w:hint="eastAsia" w:ascii="仿宋_GB2312" w:hAnsi="仿宋_GB2312" w:eastAsia="仿宋_GB2312" w:cs="仿宋_GB2312"/>
          <w:i w:val="0"/>
          <w:caps w:val="0"/>
          <w:color w:val="262626"/>
          <w:spacing w:val="0"/>
          <w:sz w:val="24"/>
          <w:szCs w:val="24"/>
          <w:bdr w:val="none" w:color="auto" w:sz="0" w:space="0"/>
        </w:rPr>
        <w:t>　　上海自贸试验区可复制改革试点经验，原则上，除涉及法律修订、上海国际金融中心建设事项外，能在其他地区推广的要尽快推广，能在全国范围内推广的要推广到全国。有关部门结合自身深化改革的各项工作，已在全国范围复制推广了一批经验和做法。在此基础上，进一步推广以下事项：</w:t>
      </w:r>
      <w:r>
        <w:rPr>
          <w:rFonts w:hint="eastAsia" w:ascii="仿宋_GB2312" w:hAnsi="仿宋_GB2312" w:eastAsia="仿宋_GB2312" w:cs="仿宋_GB2312"/>
          <w:i w:val="0"/>
          <w:caps w:val="0"/>
          <w:color w:val="262626"/>
          <w:spacing w:val="0"/>
          <w:sz w:val="24"/>
          <w:szCs w:val="24"/>
          <w:bdr w:val="none" w:color="auto" w:sz="0" w:space="0"/>
        </w:rPr>
        <w:br w:type="textWrapping"/>
      </w:r>
      <w:r>
        <w:rPr>
          <w:rFonts w:hint="eastAsia" w:ascii="仿宋_GB2312" w:hAnsi="仿宋_GB2312" w:eastAsia="仿宋_GB2312" w:cs="仿宋_GB2312"/>
          <w:i w:val="0"/>
          <w:caps w:val="0"/>
          <w:color w:val="262626"/>
          <w:spacing w:val="0"/>
          <w:sz w:val="24"/>
          <w:szCs w:val="24"/>
          <w:bdr w:val="none" w:color="auto" w:sz="0" w:space="0"/>
        </w:rPr>
        <w:t>　　</w:t>
      </w:r>
      <w:r>
        <w:rPr>
          <w:rStyle w:val="5"/>
          <w:rFonts w:hint="default" w:ascii="Helvetica" w:hAnsi="Helvetica" w:eastAsia="Helvetica" w:cs="Helvetica"/>
          <w:b/>
          <w:i w:val="0"/>
          <w:caps w:val="0"/>
          <w:color w:val="262626"/>
          <w:spacing w:val="0"/>
          <w:sz w:val="24"/>
          <w:szCs w:val="24"/>
          <w:bdr w:val="none" w:color="auto" w:sz="0" w:space="0"/>
        </w:rPr>
        <w:t>（一）在全国范围内复制推广的改革事项。</w:t>
      </w:r>
      <w:r>
        <w:rPr>
          <w:rFonts w:hint="eastAsia" w:ascii="仿宋_GB2312" w:hAnsi="仿宋_GB2312" w:eastAsia="仿宋_GB2312" w:cs="仿宋_GB2312"/>
          <w:i w:val="0"/>
          <w:caps w:val="0"/>
          <w:color w:val="262626"/>
          <w:spacing w:val="0"/>
          <w:sz w:val="24"/>
          <w:szCs w:val="24"/>
          <w:bdr w:val="none" w:color="auto" w:sz="0" w:space="0"/>
        </w:rPr>
        <w:br w:type="textWrapping"/>
      </w:r>
      <w:r>
        <w:rPr>
          <w:rFonts w:hint="eastAsia" w:ascii="仿宋_GB2312" w:hAnsi="仿宋_GB2312" w:eastAsia="仿宋_GB2312" w:cs="仿宋_GB2312"/>
          <w:i w:val="0"/>
          <w:caps w:val="0"/>
          <w:color w:val="262626"/>
          <w:spacing w:val="0"/>
          <w:sz w:val="24"/>
          <w:szCs w:val="24"/>
          <w:bdr w:val="none" w:color="auto" w:sz="0" w:space="0"/>
        </w:rPr>
        <w:t>　　1.投资管理领域：外商投资广告企业项目备案制、涉税事项网上审批备案、税务登记号码网上自动赋码、网上自主办税、纳税信用管理的网上信用评级、组织机构代码实时赋码、企业标准备案管理制度创新、取消生产许可证委托加工备案、企业设立实行“单一窗口”等。</w:t>
      </w:r>
      <w:r>
        <w:rPr>
          <w:rFonts w:hint="eastAsia" w:ascii="仿宋_GB2312" w:hAnsi="仿宋_GB2312" w:eastAsia="仿宋_GB2312" w:cs="仿宋_GB2312"/>
          <w:i w:val="0"/>
          <w:caps w:val="0"/>
          <w:color w:val="262626"/>
          <w:spacing w:val="0"/>
          <w:sz w:val="24"/>
          <w:szCs w:val="24"/>
          <w:bdr w:val="none" w:color="auto" w:sz="0" w:space="0"/>
        </w:rPr>
        <w:br w:type="textWrapping"/>
      </w:r>
      <w:r>
        <w:rPr>
          <w:rFonts w:hint="eastAsia" w:ascii="仿宋_GB2312" w:hAnsi="仿宋_GB2312" w:eastAsia="仿宋_GB2312" w:cs="仿宋_GB2312"/>
          <w:i w:val="0"/>
          <w:caps w:val="0"/>
          <w:color w:val="262626"/>
          <w:spacing w:val="0"/>
          <w:sz w:val="24"/>
          <w:szCs w:val="24"/>
          <w:bdr w:val="none" w:color="auto" w:sz="0" w:space="0"/>
        </w:rPr>
        <w:t>　　2.贸易便利化领域：全球维修产业检验检疫监管、中转货物产地来源证管理、检验检疫通关无纸化、第三方检验结果采信、出入境生物材料制品风险管理等。</w:t>
      </w:r>
      <w:r>
        <w:rPr>
          <w:rFonts w:hint="eastAsia" w:ascii="仿宋_GB2312" w:hAnsi="仿宋_GB2312" w:eastAsia="仿宋_GB2312" w:cs="仿宋_GB2312"/>
          <w:i w:val="0"/>
          <w:caps w:val="0"/>
          <w:color w:val="262626"/>
          <w:spacing w:val="0"/>
          <w:sz w:val="24"/>
          <w:szCs w:val="24"/>
          <w:bdr w:val="none" w:color="auto" w:sz="0" w:space="0"/>
        </w:rPr>
        <w:br w:type="textWrapping"/>
      </w:r>
      <w:r>
        <w:rPr>
          <w:rFonts w:hint="eastAsia" w:ascii="仿宋_GB2312" w:hAnsi="仿宋_GB2312" w:eastAsia="仿宋_GB2312" w:cs="仿宋_GB2312"/>
          <w:i w:val="0"/>
          <w:caps w:val="0"/>
          <w:color w:val="262626"/>
          <w:spacing w:val="0"/>
          <w:sz w:val="24"/>
          <w:szCs w:val="24"/>
          <w:bdr w:val="none" w:color="auto" w:sz="0" w:space="0"/>
        </w:rPr>
        <w:t>　　3.金融领域：个人其他经常项下人民币结算业务、外商投资企业外汇资本金意愿结汇、银行办理大宗商品衍生品柜台交易涉及的结售汇业务、直接投资项下外汇登记及变更登记下放银行办理等。</w:t>
      </w:r>
      <w:r>
        <w:rPr>
          <w:rFonts w:hint="eastAsia" w:ascii="仿宋_GB2312" w:hAnsi="仿宋_GB2312" w:eastAsia="仿宋_GB2312" w:cs="仿宋_GB2312"/>
          <w:i w:val="0"/>
          <w:caps w:val="0"/>
          <w:color w:val="262626"/>
          <w:spacing w:val="0"/>
          <w:sz w:val="24"/>
          <w:szCs w:val="24"/>
          <w:bdr w:val="none" w:color="auto" w:sz="0" w:space="0"/>
        </w:rPr>
        <w:br w:type="textWrapping"/>
      </w:r>
      <w:r>
        <w:rPr>
          <w:rFonts w:hint="eastAsia" w:ascii="仿宋_GB2312" w:hAnsi="仿宋_GB2312" w:eastAsia="仿宋_GB2312" w:cs="仿宋_GB2312"/>
          <w:i w:val="0"/>
          <w:caps w:val="0"/>
          <w:color w:val="262626"/>
          <w:spacing w:val="0"/>
          <w:sz w:val="24"/>
          <w:szCs w:val="24"/>
          <w:bdr w:val="none" w:color="auto" w:sz="0" w:space="0"/>
        </w:rPr>
        <w:t>　　4.服务业开放领域：允许融资租赁公司兼营与主营业务有关的商业保理业务、允许设立外商投资资信调查公司、允许设立股份制外资投资性公司、融资租赁公司设立子公司不设最低注册资本限制、允许内外资企业从事游戏游艺设备生产和销售等。</w:t>
      </w:r>
      <w:r>
        <w:rPr>
          <w:rFonts w:hint="eastAsia" w:ascii="仿宋_GB2312" w:hAnsi="仿宋_GB2312" w:eastAsia="仿宋_GB2312" w:cs="仿宋_GB2312"/>
          <w:i w:val="0"/>
          <w:caps w:val="0"/>
          <w:color w:val="262626"/>
          <w:spacing w:val="0"/>
          <w:sz w:val="24"/>
          <w:szCs w:val="24"/>
          <w:bdr w:val="none" w:color="auto" w:sz="0" w:space="0"/>
        </w:rPr>
        <w:br w:type="textWrapping"/>
      </w:r>
      <w:r>
        <w:rPr>
          <w:rFonts w:hint="eastAsia" w:ascii="仿宋_GB2312" w:hAnsi="仿宋_GB2312" w:eastAsia="仿宋_GB2312" w:cs="仿宋_GB2312"/>
          <w:i w:val="0"/>
          <w:caps w:val="0"/>
          <w:color w:val="262626"/>
          <w:spacing w:val="0"/>
          <w:sz w:val="24"/>
          <w:szCs w:val="24"/>
          <w:bdr w:val="none" w:color="auto" w:sz="0" w:space="0"/>
        </w:rPr>
        <w:t>　　5.事中事后监管措施：社会信用体系、信息共享和综合执法制度、企业年度报告公示和经营异常名录制度、社会力量参与市场监督制度，以及各部门的专业监管制度。</w:t>
      </w:r>
      <w:r>
        <w:rPr>
          <w:rFonts w:hint="eastAsia" w:ascii="仿宋_GB2312" w:hAnsi="仿宋_GB2312" w:eastAsia="仿宋_GB2312" w:cs="仿宋_GB2312"/>
          <w:i w:val="0"/>
          <w:caps w:val="0"/>
          <w:color w:val="262626"/>
          <w:spacing w:val="0"/>
          <w:sz w:val="24"/>
          <w:szCs w:val="24"/>
          <w:bdr w:val="none" w:color="auto" w:sz="0" w:space="0"/>
        </w:rPr>
        <w:br w:type="textWrapping"/>
      </w:r>
      <w:r>
        <w:rPr>
          <w:rFonts w:hint="eastAsia" w:ascii="仿宋_GB2312" w:hAnsi="仿宋_GB2312" w:eastAsia="仿宋_GB2312" w:cs="仿宋_GB2312"/>
          <w:i w:val="0"/>
          <w:caps w:val="0"/>
          <w:color w:val="262626"/>
          <w:spacing w:val="0"/>
          <w:sz w:val="24"/>
          <w:szCs w:val="24"/>
          <w:bdr w:val="none" w:color="auto" w:sz="0" w:space="0"/>
        </w:rPr>
        <w:t>　　</w:t>
      </w:r>
      <w:r>
        <w:rPr>
          <w:rStyle w:val="5"/>
          <w:rFonts w:hint="default" w:ascii="Helvetica" w:hAnsi="Helvetica" w:eastAsia="Helvetica" w:cs="Helvetica"/>
          <w:b/>
          <w:i w:val="0"/>
          <w:caps w:val="0"/>
          <w:color w:val="262626"/>
          <w:spacing w:val="0"/>
          <w:sz w:val="24"/>
          <w:szCs w:val="24"/>
          <w:bdr w:val="none" w:color="auto" w:sz="0" w:space="0"/>
        </w:rPr>
        <w:t>（二）在全国其他海关特殊监管区域复制推广的改革事项。</w:t>
      </w:r>
      <w:r>
        <w:rPr>
          <w:rFonts w:hint="eastAsia" w:ascii="仿宋_GB2312" w:hAnsi="仿宋_GB2312" w:eastAsia="仿宋_GB2312" w:cs="仿宋_GB2312"/>
          <w:i w:val="0"/>
          <w:caps w:val="0"/>
          <w:color w:val="262626"/>
          <w:spacing w:val="0"/>
          <w:sz w:val="24"/>
          <w:szCs w:val="24"/>
          <w:bdr w:val="none" w:color="auto" w:sz="0" w:space="0"/>
        </w:rPr>
        <w:br w:type="textWrapping"/>
      </w:r>
      <w:r>
        <w:rPr>
          <w:rFonts w:hint="eastAsia" w:ascii="仿宋_GB2312" w:hAnsi="仿宋_GB2312" w:eastAsia="仿宋_GB2312" w:cs="仿宋_GB2312"/>
          <w:i w:val="0"/>
          <w:caps w:val="0"/>
          <w:color w:val="262626"/>
          <w:spacing w:val="0"/>
          <w:sz w:val="24"/>
          <w:szCs w:val="24"/>
          <w:bdr w:val="none" w:color="auto" w:sz="0" w:space="0"/>
        </w:rPr>
        <w:t>　　1.海关监管制度创新：期货保税交割海关监管制度、境内外维修海关监管制度、融资租赁海关监管制度等措施。</w:t>
      </w:r>
      <w:r>
        <w:rPr>
          <w:rFonts w:hint="eastAsia" w:ascii="仿宋_GB2312" w:hAnsi="仿宋_GB2312" w:eastAsia="仿宋_GB2312" w:cs="仿宋_GB2312"/>
          <w:i w:val="0"/>
          <w:caps w:val="0"/>
          <w:color w:val="262626"/>
          <w:spacing w:val="0"/>
          <w:sz w:val="24"/>
          <w:szCs w:val="24"/>
          <w:bdr w:val="none" w:color="auto" w:sz="0" w:space="0"/>
        </w:rPr>
        <w:br w:type="textWrapping"/>
      </w:r>
      <w:r>
        <w:rPr>
          <w:rFonts w:hint="eastAsia" w:ascii="仿宋_GB2312" w:hAnsi="仿宋_GB2312" w:eastAsia="仿宋_GB2312" w:cs="仿宋_GB2312"/>
          <w:i w:val="0"/>
          <w:caps w:val="0"/>
          <w:color w:val="262626"/>
          <w:spacing w:val="0"/>
          <w:sz w:val="24"/>
          <w:szCs w:val="24"/>
          <w:bdr w:val="none" w:color="auto" w:sz="0" w:space="0"/>
        </w:rPr>
        <w:t>　　2.检验检疫制度创新：进口货物预检验、分线监督管理制度、动植物及其产品检疫审批负面清单管理等措施。</w:t>
      </w:r>
      <w:r>
        <w:rPr>
          <w:rFonts w:hint="eastAsia" w:ascii="仿宋_GB2312" w:hAnsi="仿宋_GB2312" w:eastAsia="仿宋_GB2312" w:cs="仿宋_GB2312"/>
          <w:i w:val="0"/>
          <w:caps w:val="0"/>
          <w:color w:val="262626"/>
          <w:spacing w:val="0"/>
          <w:sz w:val="24"/>
          <w:szCs w:val="24"/>
          <w:bdr w:val="none" w:color="auto" w:sz="0" w:space="0"/>
        </w:rPr>
        <w:br w:type="textWrapping"/>
      </w:r>
      <w:r>
        <w:rPr>
          <w:rFonts w:hint="eastAsia" w:ascii="仿宋_GB2312" w:hAnsi="仿宋_GB2312" w:eastAsia="仿宋_GB2312" w:cs="仿宋_GB2312"/>
          <w:i w:val="0"/>
          <w:caps w:val="0"/>
          <w:color w:val="262626"/>
          <w:spacing w:val="0"/>
          <w:sz w:val="24"/>
          <w:szCs w:val="24"/>
          <w:bdr w:val="none" w:color="auto" w:sz="0" w:space="0"/>
        </w:rPr>
        <w:t>　　</w:t>
      </w:r>
      <w:r>
        <w:rPr>
          <w:rFonts w:hint="default" w:ascii="Helvetica" w:hAnsi="Helvetica" w:eastAsia="Helvetica" w:cs="Helvetica"/>
          <w:i w:val="0"/>
          <w:caps w:val="0"/>
          <w:color w:val="262626"/>
          <w:spacing w:val="0"/>
          <w:sz w:val="24"/>
          <w:szCs w:val="24"/>
          <w:bdr w:val="none" w:color="auto" w:sz="0" w:space="0"/>
        </w:rPr>
        <w:t>二、高度重视推广工作</w:t>
      </w:r>
      <w:r>
        <w:rPr>
          <w:rFonts w:hint="eastAsia" w:ascii="仿宋_GB2312" w:hAnsi="仿宋_GB2312" w:eastAsia="仿宋_GB2312" w:cs="仿宋_GB2312"/>
          <w:i w:val="0"/>
          <w:caps w:val="0"/>
          <w:color w:val="262626"/>
          <w:spacing w:val="0"/>
          <w:sz w:val="24"/>
          <w:szCs w:val="24"/>
          <w:bdr w:val="none" w:color="auto" w:sz="0" w:space="0"/>
        </w:rPr>
        <w:br w:type="textWrapping"/>
      </w:r>
      <w:r>
        <w:rPr>
          <w:rFonts w:hint="eastAsia" w:ascii="仿宋_GB2312" w:hAnsi="仿宋_GB2312" w:eastAsia="仿宋_GB2312" w:cs="仿宋_GB2312"/>
          <w:i w:val="0"/>
          <w:caps w:val="0"/>
          <w:color w:val="262626"/>
          <w:spacing w:val="0"/>
          <w:sz w:val="24"/>
          <w:szCs w:val="24"/>
          <w:bdr w:val="none" w:color="auto" w:sz="0" w:space="0"/>
        </w:rPr>
        <w:t>　　各地区、各部门要深刻认识推广上海自贸试验区可复制改革试点经验的重大意义，将推广工作作为全面深化改革的重要举措，积极转变政府管理理念，以开放促改革，结合本地区、本部门实际情况，着力解决市场体系不完善、政府干预过多和监管不到位等问题，更好地发挥市场在资源配置中的决定性作用和政府作用。要适应经济全球化的趋势，逐步构建与我国开放型经济发展要求相适应的新体制、新模式，释放改革红利，促进国际国内要素有序自由流动、资源高效配置、市场深度融合，加快培育参与和引领国际经济合作竞争的新优势。</w:t>
      </w:r>
      <w:r>
        <w:rPr>
          <w:rFonts w:hint="eastAsia" w:ascii="仿宋_GB2312" w:hAnsi="仿宋_GB2312" w:eastAsia="仿宋_GB2312" w:cs="仿宋_GB2312"/>
          <w:i w:val="0"/>
          <w:caps w:val="0"/>
          <w:color w:val="262626"/>
          <w:spacing w:val="0"/>
          <w:sz w:val="24"/>
          <w:szCs w:val="24"/>
          <w:bdr w:val="none" w:color="auto" w:sz="0" w:space="0"/>
        </w:rPr>
        <w:br w:type="textWrapping"/>
      </w:r>
      <w:r>
        <w:rPr>
          <w:rFonts w:hint="eastAsia" w:ascii="仿宋_GB2312" w:hAnsi="仿宋_GB2312" w:eastAsia="仿宋_GB2312" w:cs="仿宋_GB2312"/>
          <w:i w:val="0"/>
          <w:caps w:val="0"/>
          <w:color w:val="262626"/>
          <w:spacing w:val="0"/>
          <w:sz w:val="24"/>
          <w:szCs w:val="24"/>
          <w:bdr w:val="none" w:color="auto" w:sz="0" w:space="0"/>
        </w:rPr>
        <w:t>　　</w:t>
      </w:r>
      <w:r>
        <w:rPr>
          <w:rFonts w:hint="default" w:ascii="Helvetica" w:hAnsi="Helvetica" w:eastAsia="Helvetica" w:cs="Helvetica"/>
          <w:i w:val="0"/>
          <w:caps w:val="0"/>
          <w:color w:val="262626"/>
          <w:spacing w:val="0"/>
          <w:sz w:val="24"/>
          <w:szCs w:val="24"/>
          <w:bdr w:val="none" w:color="auto" w:sz="0" w:space="0"/>
        </w:rPr>
        <w:t>三、切实做好组织实施</w:t>
      </w:r>
      <w:r>
        <w:rPr>
          <w:rFonts w:hint="eastAsia" w:ascii="仿宋_GB2312" w:hAnsi="仿宋_GB2312" w:eastAsia="仿宋_GB2312" w:cs="仿宋_GB2312"/>
          <w:i w:val="0"/>
          <w:caps w:val="0"/>
          <w:color w:val="262626"/>
          <w:spacing w:val="0"/>
          <w:sz w:val="24"/>
          <w:szCs w:val="24"/>
          <w:bdr w:val="none" w:color="auto" w:sz="0" w:space="0"/>
        </w:rPr>
        <w:br w:type="textWrapping"/>
      </w:r>
      <w:r>
        <w:rPr>
          <w:rFonts w:hint="default" w:ascii="Helvetica" w:hAnsi="Helvetica" w:eastAsia="Helvetica" w:cs="Helvetica"/>
          <w:i w:val="0"/>
          <w:caps w:val="0"/>
          <w:color w:val="262626"/>
          <w:spacing w:val="0"/>
          <w:sz w:val="24"/>
          <w:szCs w:val="24"/>
          <w:bdr w:val="none" w:color="auto" w:sz="0" w:space="0"/>
        </w:rPr>
        <w:t>　　各省（区、市）人民政府要因地制宜，将推广相关体制机制改革措施列为本地区重点工作，建立健全领导机制，积极创造条件、扎实推进，确保改革试点经验生根落地，产生实效。国务院各有关部门要按照规定时限完成相关改革试点经验推广工作。各省（区、市）人民政府和国务院各有关部门要制订工作方案，明确具体任务、时间节点和可检验的成果形式，于2015年1月31日前送商务部，由商务部汇总后报国务院。改革试点经验推广过程中遇到的重大问题，要及时报告国务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color w:val="262626"/>
        </w:rPr>
      </w:pPr>
      <w:r>
        <w:rPr>
          <w:rFonts w:hint="eastAsia" w:ascii="仿宋_GB2312" w:hAnsi="仿宋_GB2312" w:eastAsia="仿宋_GB2312" w:cs="仿宋_GB2312"/>
          <w:i w:val="0"/>
          <w:caps w:val="0"/>
          <w:color w:val="262626"/>
          <w:spacing w:val="0"/>
          <w:sz w:val="24"/>
          <w:szCs w:val="24"/>
          <w:bdr w:val="none" w:color="auto" w:sz="0" w:space="0"/>
        </w:rPr>
        <w:t>　　附件：1.国务院有关部门负责复制推广的改革事项任务分工表</w:t>
      </w:r>
      <w:r>
        <w:rPr>
          <w:rFonts w:hint="eastAsia" w:ascii="仿宋_GB2312" w:hAnsi="仿宋_GB2312" w:eastAsia="仿宋_GB2312" w:cs="仿宋_GB2312"/>
          <w:i w:val="0"/>
          <w:caps w:val="0"/>
          <w:color w:val="262626"/>
          <w:spacing w:val="0"/>
          <w:sz w:val="24"/>
          <w:szCs w:val="24"/>
          <w:bdr w:val="none" w:color="auto" w:sz="0" w:space="0"/>
        </w:rPr>
        <w:br w:type="textWrapping"/>
      </w:r>
      <w:r>
        <w:rPr>
          <w:rFonts w:hint="eastAsia" w:ascii="仿宋_GB2312" w:hAnsi="仿宋_GB2312" w:eastAsia="仿宋_GB2312" w:cs="仿宋_GB2312"/>
          <w:i w:val="0"/>
          <w:caps w:val="0"/>
          <w:color w:val="262626"/>
          <w:spacing w:val="0"/>
          <w:sz w:val="24"/>
          <w:szCs w:val="24"/>
          <w:bdr w:val="none" w:color="auto" w:sz="0" w:space="0"/>
        </w:rPr>
        <w:t>　　　　　2.各省（区、市）人民政府借鉴推广的改革事项任务表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color w:val="262626"/>
        </w:rPr>
      </w:pPr>
      <w:r>
        <w:rPr>
          <w:rFonts w:ascii="Calibri" w:hAnsi="Calibri" w:eastAsia="Calibri" w:cs="Calibri"/>
          <w:i w:val="0"/>
          <w:caps w:val="0"/>
          <w:color w:val="262626"/>
          <w:spacing w:val="0"/>
          <w:sz w:val="24"/>
          <w:szCs w:val="24"/>
          <w:bdr w:val="none" w:color="auto" w:sz="0" w:space="0"/>
        </w:rPr>
        <w:t>　　　　　　　　　　　　　　　　　　　　　　　　　　　　　 </w:t>
      </w:r>
      <w:r>
        <w:rPr>
          <w:rFonts w:hint="default" w:ascii="Calibri" w:hAnsi="Calibri" w:eastAsia="Calibri" w:cs="Calibri"/>
          <w:i w:val="0"/>
          <w:caps w:val="0"/>
          <w:color w:val="262626"/>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color w:val="262626"/>
        </w:rPr>
      </w:pPr>
      <w:r>
        <w:rPr>
          <w:rFonts w:hint="default" w:ascii="Helvetica" w:hAnsi="Helvetica" w:eastAsia="Helvetica" w:cs="Helvetica"/>
          <w:i w:val="0"/>
          <w:caps w:val="0"/>
          <w:color w:val="262626"/>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color w:val="262626"/>
        </w:rPr>
      </w:pPr>
      <w:r>
        <w:rPr>
          <w:rFonts w:hint="default" w:ascii="Helvetica" w:hAnsi="Helvetica" w:eastAsia="Helvetica" w:cs="Helvetica"/>
          <w:i w:val="0"/>
          <w:caps w:val="0"/>
          <w:color w:val="262626"/>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5760"/>
        <w:rPr>
          <w:color w:val="262626"/>
        </w:rPr>
      </w:pPr>
      <w:r>
        <w:rPr>
          <w:rFonts w:hint="default" w:ascii="Calibri" w:hAnsi="Calibri" w:eastAsia="Calibri" w:cs="Calibri"/>
          <w:i w:val="0"/>
          <w:caps w:val="0"/>
          <w:color w:val="262626"/>
          <w:spacing w:val="0"/>
          <w:sz w:val="24"/>
          <w:szCs w:val="24"/>
          <w:bdr w:val="none" w:color="auto" w:sz="0" w:space="0"/>
        </w:rPr>
        <w:t> 国务院</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firstLine="5280"/>
        <w:rPr>
          <w:color w:val="262626"/>
        </w:rPr>
      </w:pPr>
      <w:r>
        <w:rPr>
          <w:rFonts w:hint="default" w:ascii="Calibri" w:hAnsi="Calibri" w:eastAsia="Calibri" w:cs="Calibri"/>
          <w:i w:val="0"/>
          <w:caps w:val="0"/>
          <w:color w:val="262626"/>
          <w:spacing w:val="0"/>
          <w:sz w:val="24"/>
          <w:szCs w:val="24"/>
          <w:bdr w:val="none" w:color="auto" w:sz="0" w:space="0"/>
        </w:rPr>
        <w:t>2014年12月21日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368" w:lineRule="atLeast"/>
        <w:ind w:left="0" w:right="0"/>
        <w:jc w:val="left"/>
        <w:rPr>
          <w:color w:val="262626"/>
        </w:rPr>
      </w:pPr>
      <w:r>
        <w:rPr>
          <w:rFonts w:hint="default" w:ascii="Helvetica" w:hAnsi="Helvetica" w:eastAsia="Helvetica" w:cs="Helvetica"/>
          <w:i w:val="0"/>
          <w:caps w:val="0"/>
          <w:color w:val="262626"/>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rPr>
          <w:color w:val="26262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left"/>
        <w:rPr>
          <w:color w:val="262626"/>
        </w:rPr>
      </w:pPr>
      <w:r>
        <w:rPr>
          <w:rStyle w:val="5"/>
          <w:rFonts w:hint="default" w:ascii="Helvetica" w:hAnsi="Helvetica" w:eastAsia="Helvetica" w:cs="Helvetica"/>
          <w:b/>
          <w:i w:val="0"/>
          <w:caps w:val="0"/>
          <w:color w:val="262626"/>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rStyle w:val="5"/>
          <w:rFonts w:ascii="黑体" w:hAnsi="宋体" w:eastAsia="黑体" w:cs="黑体"/>
          <w:b/>
          <w:i w:val="0"/>
          <w:caps w:val="0"/>
          <w:color w:val="000000"/>
          <w:spacing w:val="0"/>
          <w:sz w:val="24"/>
          <w:szCs w:val="24"/>
          <w:bdr w:val="none" w:color="auto" w:sz="0" w:space="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Style w:val="5"/>
          <w:rFonts w:ascii="黑体" w:hAnsi="宋体" w:eastAsia="黑体" w:cs="黑体"/>
          <w:b/>
          <w:i w:val="0"/>
          <w:caps w:val="0"/>
          <w:color w:val="000000"/>
          <w:spacing w:val="0"/>
          <w:sz w:val="24"/>
          <w:szCs w:val="24"/>
          <w:bdr w:val="none" w:color="auto" w:sz="0" w:space="0"/>
        </w:rPr>
        <w:t>附件1</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color w:val="262626"/>
        </w:rPr>
      </w:pPr>
      <w:r>
        <w:rPr>
          <w:rStyle w:val="5"/>
          <w:rFonts w:ascii="华文中宋" w:hAnsi="华文中宋" w:eastAsia="华文中宋" w:cs="华文中宋"/>
          <w:b/>
          <w:i w:val="0"/>
          <w:caps w:val="0"/>
          <w:color w:val="000000"/>
          <w:spacing w:val="0"/>
          <w:sz w:val="28"/>
          <w:szCs w:val="28"/>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color w:val="262626"/>
        </w:rPr>
      </w:pPr>
      <w:r>
        <w:rPr>
          <w:rStyle w:val="5"/>
          <w:rFonts w:hint="eastAsia" w:ascii="华文中宋" w:hAnsi="华文中宋" w:eastAsia="华文中宋" w:cs="华文中宋"/>
          <w:b/>
          <w:i w:val="0"/>
          <w:caps w:val="0"/>
          <w:color w:val="000000"/>
          <w:spacing w:val="0"/>
          <w:sz w:val="28"/>
          <w:szCs w:val="28"/>
          <w:bdr w:val="none" w:color="auto" w:sz="0" w:space="0"/>
        </w:rPr>
        <w:t>国务院有关部门负责复制推广的改革事项任务分工表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color w:val="262626"/>
        </w:rPr>
      </w:pPr>
      <w:r>
        <w:rPr>
          <w:rFonts w:hint="eastAsia" w:ascii="华文中宋" w:hAnsi="华文中宋" w:eastAsia="华文中宋" w:cs="华文中宋"/>
          <w:i w:val="0"/>
          <w:caps w:val="0"/>
          <w:color w:val="000000"/>
          <w:spacing w:val="0"/>
          <w:sz w:val="27"/>
          <w:szCs w:val="27"/>
          <w:bdr w:val="none" w:color="auto" w:sz="0" w:space="0"/>
        </w:rPr>
        <w:t> </w:t>
      </w:r>
    </w:p>
    <w:tbl>
      <w:tblPr>
        <w:tblW w:w="7560" w:type="dxa"/>
        <w:jc w:val="center"/>
        <w:tblInd w:w="373"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714"/>
        <w:gridCol w:w="2734"/>
        <w:gridCol w:w="1398"/>
        <w:gridCol w:w="1574"/>
        <w:gridCol w:w="114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inset" w:color="000000" w:sz="6" w:space="0"/>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Style w:val="5"/>
                <w:rFonts w:hint="eastAsia" w:ascii="宋体" w:hAnsi="宋体" w:eastAsia="宋体" w:cs="宋体"/>
                <w:b/>
                <w:color w:val="000000"/>
                <w:sz w:val="19"/>
                <w:szCs w:val="19"/>
                <w:bdr w:val="none" w:color="auto" w:sz="0" w:space="0"/>
              </w:rPr>
              <w:t>序号</w:t>
            </w:r>
          </w:p>
        </w:tc>
        <w:tc>
          <w:tcPr>
            <w:tcW w:w="2734" w:type="dxa"/>
            <w:tcBorders>
              <w:top w:val="inset" w:color="000000" w:sz="6" w:space="0"/>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Style w:val="5"/>
                <w:rFonts w:hint="eastAsia" w:ascii="宋体" w:hAnsi="宋体" w:eastAsia="宋体" w:cs="宋体"/>
                <w:b/>
                <w:color w:val="000000"/>
                <w:sz w:val="19"/>
                <w:szCs w:val="19"/>
                <w:bdr w:val="none" w:color="auto" w:sz="0" w:space="0"/>
              </w:rPr>
              <w:t>改革事项</w:t>
            </w:r>
          </w:p>
        </w:tc>
        <w:tc>
          <w:tcPr>
            <w:tcW w:w="1398" w:type="dxa"/>
            <w:tcBorders>
              <w:top w:val="inset" w:color="000000" w:sz="6" w:space="0"/>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Style w:val="5"/>
                <w:rFonts w:hint="eastAsia" w:ascii="宋体" w:hAnsi="宋体" w:eastAsia="宋体" w:cs="宋体"/>
                <w:b/>
                <w:color w:val="000000"/>
                <w:sz w:val="19"/>
                <w:szCs w:val="19"/>
                <w:bdr w:val="none" w:color="auto" w:sz="0" w:space="0"/>
              </w:rPr>
              <w:t>负责部门</w:t>
            </w:r>
          </w:p>
        </w:tc>
        <w:tc>
          <w:tcPr>
            <w:tcW w:w="1574" w:type="dxa"/>
            <w:tcBorders>
              <w:top w:val="inset" w:color="000000" w:sz="6" w:space="0"/>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Style w:val="5"/>
                <w:rFonts w:hint="eastAsia" w:ascii="宋体" w:hAnsi="宋体" w:eastAsia="宋体" w:cs="宋体"/>
                <w:b/>
                <w:color w:val="000000"/>
                <w:sz w:val="19"/>
                <w:szCs w:val="19"/>
                <w:bdr w:val="none" w:color="auto" w:sz="0" w:space="0"/>
              </w:rPr>
              <w:t>推广范围</w:t>
            </w:r>
          </w:p>
        </w:tc>
        <w:tc>
          <w:tcPr>
            <w:tcW w:w="1140" w:type="dxa"/>
            <w:tcBorders>
              <w:top w:val="inset" w:color="000000" w:sz="6" w:space="0"/>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Style w:val="5"/>
                <w:b/>
                <w:color w:val="262626"/>
                <w:sz w:val="19"/>
                <w:szCs w:val="19"/>
                <w:bdr w:val="none" w:color="auto" w:sz="0" w:space="0"/>
              </w:rPr>
              <w:t> </w:t>
            </w:r>
            <w:r>
              <w:rPr>
                <w:rStyle w:val="5"/>
                <w:rFonts w:hint="eastAsia" w:ascii="宋体" w:hAnsi="宋体" w:eastAsia="宋体" w:cs="宋体"/>
                <w:b/>
                <w:color w:val="000000"/>
                <w:sz w:val="19"/>
                <w:szCs w:val="19"/>
                <w:bdr w:val="none" w:color="auto" w:sz="0" w:space="0"/>
              </w:rPr>
              <w:t>时限</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1</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外商投资广告企业项目备案制</w:t>
            </w:r>
          </w:p>
        </w:tc>
        <w:tc>
          <w:tcPr>
            <w:tcW w:w="1398"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Fonts w:hint="eastAsia" w:ascii="宋体" w:hAnsi="宋体" w:eastAsia="宋体" w:cs="宋体"/>
                <w:color w:val="000000"/>
                <w:sz w:val="19"/>
                <w:szCs w:val="19"/>
                <w:bdr w:val="none" w:color="auto" w:sz="0" w:space="0"/>
              </w:rPr>
              <w:t>工商总局</w:t>
            </w:r>
          </w:p>
        </w:tc>
        <w:tc>
          <w:tcPr>
            <w:tcW w:w="1574" w:type="dxa"/>
            <w:vMerge w:val="restart"/>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color w:val="262626"/>
                <w:sz w:val="19"/>
                <w:szCs w:val="19"/>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Fonts w:hint="eastAsia" w:ascii="宋体" w:hAnsi="宋体" w:eastAsia="宋体" w:cs="宋体"/>
                <w:color w:val="000000"/>
                <w:sz w:val="19"/>
                <w:szCs w:val="19"/>
                <w:bdr w:val="none" w:color="auto" w:sz="0" w:space="0"/>
              </w:rPr>
              <w:t>全国</w:t>
            </w:r>
            <w:r>
              <w:rPr>
                <w:color w:val="262626"/>
                <w:sz w:val="19"/>
                <w:szCs w:val="19"/>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color w:val="262626"/>
                <w:sz w:val="19"/>
                <w:szCs w:val="19"/>
                <w:bdr w:val="none" w:color="auto" w:sz="0" w:space="0"/>
              </w:rPr>
              <w:t>     </w:t>
            </w:r>
          </w:p>
        </w:tc>
        <w:tc>
          <w:tcPr>
            <w:tcW w:w="1140" w:type="dxa"/>
            <w:vMerge w:val="restart"/>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2015</w:t>
            </w:r>
            <w:r>
              <w:rPr>
                <w:rFonts w:hint="eastAsia" w:ascii="宋体" w:hAnsi="宋体" w:eastAsia="宋体" w:cs="宋体"/>
                <w:color w:val="000000"/>
                <w:sz w:val="19"/>
                <w:szCs w:val="19"/>
                <w:bdr w:val="none" w:color="auto" w:sz="0" w:space="0"/>
              </w:rPr>
              <w:t>年</w:t>
            </w:r>
            <w:r>
              <w:rPr>
                <w:color w:val="262626"/>
                <w:sz w:val="19"/>
                <w:szCs w:val="19"/>
                <w:bdr w:val="none" w:color="auto" w:sz="0" w:space="0"/>
              </w:rPr>
              <w:t>6</w:t>
            </w:r>
            <w:r>
              <w:rPr>
                <w:rFonts w:hint="eastAsia" w:ascii="宋体" w:hAnsi="宋体" w:eastAsia="宋体" w:cs="宋体"/>
                <w:color w:val="000000"/>
                <w:sz w:val="19"/>
                <w:szCs w:val="19"/>
                <w:bdr w:val="none" w:color="auto" w:sz="0" w:space="0"/>
              </w:rPr>
              <w:t>月</w:t>
            </w:r>
            <w:r>
              <w:rPr>
                <w:color w:val="262626"/>
                <w:sz w:val="19"/>
                <w:szCs w:val="19"/>
                <w:bdr w:val="none" w:color="auto" w:sz="0" w:space="0"/>
              </w:rPr>
              <w:br w:type="textWrapping"/>
            </w:r>
            <w:r>
              <w:rPr>
                <w:color w:val="262626"/>
                <w:sz w:val="19"/>
                <w:szCs w:val="19"/>
                <w:bdr w:val="none" w:color="auto" w:sz="0" w:space="0"/>
              </w:rPr>
              <w:t>30</w:t>
            </w:r>
            <w:r>
              <w:rPr>
                <w:rFonts w:hint="eastAsia" w:ascii="宋体" w:hAnsi="宋体" w:eastAsia="宋体" w:cs="宋体"/>
                <w:color w:val="000000"/>
                <w:sz w:val="19"/>
                <w:szCs w:val="19"/>
                <w:bdr w:val="none" w:color="auto" w:sz="0" w:space="0"/>
              </w:rPr>
              <w:t>日前</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color w:val="262626"/>
                <w:sz w:val="19"/>
                <w:szCs w:val="19"/>
                <w:bdr w:val="none" w:color="auto" w:sz="0" w:space="0"/>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2</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涉税事项网上审批备案</w:t>
            </w:r>
            <w:r>
              <w:rPr>
                <w:color w:val="262626"/>
                <w:sz w:val="19"/>
                <w:szCs w:val="19"/>
                <w:bdr w:val="none" w:color="auto" w:sz="0" w:space="0"/>
              </w:rPr>
              <w:t> </w:t>
            </w:r>
          </w:p>
        </w:tc>
        <w:tc>
          <w:tcPr>
            <w:tcW w:w="1398" w:type="dxa"/>
            <w:vMerge w:val="restart"/>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Fonts w:hint="eastAsia" w:ascii="宋体" w:hAnsi="宋体" w:eastAsia="宋体" w:cs="宋体"/>
                <w:color w:val="000000"/>
                <w:sz w:val="19"/>
                <w:szCs w:val="19"/>
                <w:bdr w:val="none" w:color="auto" w:sz="0" w:space="0"/>
              </w:rPr>
              <w:t>税务总局</w:t>
            </w: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3</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税务登记号码网上自动赋码</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4</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网上自主办税</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5</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纳税信用管理的网上信用评级</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6</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组织机构代码实时赋码</w:t>
            </w:r>
            <w:r>
              <w:rPr>
                <w:color w:val="262626"/>
                <w:sz w:val="19"/>
                <w:szCs w:val="19"/>
                <w:bdr w:val="none" w:color="auto" w:sz="0" w:space="0"/>
              </w:rPr>
              <w:t> </w:t>
            </w:r>
          </w:p>
        </w:tc>
        <w:tc>
          <w:tcPr>
            <w:tcW w:w="1398" w:type="dxa"/>
            <w:vMerge w:val="restart"/>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Fonts w:hint="eastAsia" w:ascii="宋体" w:hAnsi="宋体" w:eastAsia="宋体" w:cs="宋体"/>
                <w:color w:val="000000"/>
                <w:sz w:val="19"/>
                <w:szCs w:val="19"/>
                <w:bdr w:val="none" w:color="auto" w:sz="0" w:space="0"/>
              </w:rPr>
              <w:t>质检总局</w:t>
            </w: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7</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企业标准备案管理制度创新</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8</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取消生产许可证委托加工备案</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9</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全球维修产业检验检疫监管</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10</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中转货物产地来源证管理</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11</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检验检疫通关无纸化</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12 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第三方检验结果采信</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13 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出入境生物材料制品风险管理</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14 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个人其他经常项下人民币结算业务</w:t>
            </w:r>
            <w:r>
              <w:rPr>
                <w:color w:val="262626"/>
                <w:sz w:val="19"/>
                <w:szCs w:val="19"/>
                <w:bdr w:val="none" w:color="auto" w:sz="0" w:space="0"/>
              </w:rPr>
              <w:t> </w:t>
            </w:r>
          </w:p>
        </w:tc>
        <w:tc>
          <w:tcPr>
            <w:tcW w:w="1398"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Fonts w:hint="eastAsia" w:ascii="宋体" w:hAnsi="宋体" w:eastAsia="宋体" w:cs="宋体"/>
                <w:color w:val="000000"/>
                <w:sz w:val="19"/>
                <w:szCs w:val="19"/>
                <w:bdr w:val="none" w:color="auto" w:sz="0" w:space="0"/>
              </w:rPr>
              <w:t>人民银行</w:t>
            </w:r>
            <w:r>
              <w:rPr>
                <w:color w:val="262626"/>
                <w:sz w:val="19"/>
                <w:szCs w:val="19"/>
                <w:bdr w:val="none" w:color="auto" w:sz="0" w:space="0"/>
              </w:rPr>
              <w:t> </w:t>
            </w: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15 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外商投资企业外汇资本金意愿结汇</w:t>
            </w:r>
            <w:r>
              <w:rPr>
                <w:color w:val="262626"/>
                <w:sz w:val="19"/>
                <w:szCs w:val="19"/>
                <w:bdr w:val="none" w:color="auto" w:sz="0" w:space="0"/>
              </w:rPr>
              <w:t> </w:t>
            </w:r>
          </w:p>
        </w:tc>
        <w:tc>
          <w:tcPr>
            <w:tcW w:w="1398" w:type="dxa"/>
            <w:vMerge w:val="restart"/>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Fonts w:hint="eastAsia" w:ascii="宋体" w:hAnsi="宋体" w:eastAsia="宋体" w:cs="宋体"/>
                <w:color w:val="000000"/>
                <w:sz w:val="19"/>
                <w:szCs w:val="19"/>
                <w:bdr w:val="none" w:color="auto" w:sz="0" w:space="0"/>
              </w:rPr>
              <w:t>外汇局</w:t>
            </w:r>
            <w:r>
              <w:rPr>
                <w:color w:val="262626"/>
                <w:sz w:val="19"/>
                <w:szCs w:val="19"/>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color w:val="262626"/>
                <w:sz w:val="19"/>
                <w:szCs w:val="19"/>
                <w:bdr w:val="none" w:color="auto" w:sz="0" w:space="0"/>
              </w:rPr>
              <w:t>  </w:t>
            </w: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16 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银行办理大宗商品衍生品柜台交易涉及的结售汇业务</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17 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直接投资项下外汇登记及变更登记下放银行办理</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18 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允许融资租赁公司兼营与主营业务有关的商业保理业务</w:t>
            </w:r>
            <w:r>
              <w:rPr>
                <w:color w:val="262626"/>
                <w:sz w:val="19"/>
                <w:szCs w:val="19"/>
                <w:bdr w:val="none" w:color="auto" w:sz="0" w:space="0"/>
              </w:rPr>
              <w:t> </w:t>
            </w:r>
          </w:p>
        </w:tc>
        <w:tc>
          <w:tcPr>
            <w:tcW w:w="1398" w:type="dxa"/>
            <w:vMerge w:val="restart"/>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Fonts w:hint="eastAsia" w:ascii="宋体" w:hAnsi="宋体" w:eastAsia="宋体" w:cs="宋体"/>
                <w:color w:val="000000"/>
                <w:sz w:val="19"/>
                <w:szCs w:val="19"/>
                <w:bdr w:val="none" w:color="auto" w:sz="0" w:space="0"/>
              </w:rPr>
              <w:t>商务部</w:t>
            </w:r>
            <w:r>
              <w:rPr>
                <w:color w:val="262626"/>
                <w:sz w:val="19"/>
                <w:szCs w:val="19"/>
                <w:bdr w:val="none" w:color="auto" w:sz="0" w:space="0"/>
              </w:rPr>
              <w:t>    </w:t>
            </w: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19 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允许设立外商投资资信调查公司</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20 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允许设立股份制外资投资性公司</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21 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融资租赁公司设立子公司不设最低注册资本限制</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22 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允许内外资企业从事游戏游艺设备生产和销售，经文化部门内容审核后面向国内市场销售</w:t>
            </w:r>
            <w:r>
              <w:rPr>
                <w:color w:val="262626"/>
                <w:sz w:val="19"/>
                <w:szCs w:val="19"/>
                <w:bdr w:val="none" w:color="auto" w:sz="0" w:space="0"/>
              </w:rPr>
              <w:t> </w:t>
            </w:r>
          </w:p>
        </w:tc>
        <w:tc>
          <w:tcPr>
            <w:tcW w:w="1398"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Fonts w:hint="eastAsia" w:ascii="宋体" w:hAnsi="宋体" w:eastAsia="宋体" w:cs="宋体"/>
                <w:color w:val="000000"/>
                <w:sz w:val="19"/>
                <w:szCs w:val="19"/>
                <w:bdr w:val="none" w:color="auto" w:sz="0" w:space="0"/>
              </w:rPr>
              <w:t>文化部</w:t>
            </w:r>
            <w:r>
              <w:rPr>
                <w:color w:val="262626"/>
                <w:sz w:val="19"/>
                <w:szCs w:val="19"/>
                <w:bdr w:val="none" w:color="auto" w:sz="0" w:space="0"/>
              </w:rPr>
              <w:t> </w:t>
            </w: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23 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从投资者条件、企业设立程序、业务规则、监督管理、违规处罚等方面明确扩大开放行业具体监管要求，完善专业监管制度</w:t>
            </w:r>
            <w:r>
              <w:rPr>
                <w:color w:val="262626"/>
                <w:sz w:val="19"/>
                <w:szCs w:val="19"/>
                <w:bdr w:val="none" w:color="auto" w:sz="0" w:space="0"/>
              </w:rPr>
              <w:t> </w:t>
            </w:r>
          </w:p>
        </w:tc>
        <w:tc>
          <w:tcPr>
            <w:tcW w:w="1398"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Fonts w:hint="eastAsia" w:ascii="宋体" w:hAnsi="宋体" w:eastAsia="宋体" w:cs="宋体"/>
                <w:color w:val="000000"/>
                <w:sz w:val="19"/>
                <w:szCs w:val="19"/>
                <w:bdr w:val="none" w:color="auto" w:sz="0" w:space="0"/>
              </w:rPr>
              <w:t>各行业监管部门</w:t>
            </w:r>
            <w:r>
              <w:rPr>
                <w:color w:val="262626"/>
                <w:sz w:val="19"/>
                <w:szCs w:val="19"/>
                <w:bdr w:val="none" w:color="auto" w:sz="0" w:space="0"/>
              </w:rPr>
              <w:t> </w:t>
            </w:r>
          </w:p>
        </w:tc>
        <w:tc>
          <w:tcPr>
            <w:tcW w:w="157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Fonts w:hint="eastAsia" w:ascii="宋体" w:hAnsi="宋体" w:eastAsia="宋体" w:cs="宋体"/>
                <w:color w:val="000000"/>
                <w:sz w:val="19"/>
                <w:szCs w:val="19"/>
                <w:bdr w:val="none" w:color="auto" w:sz="0" w:space="0"/>
              </w:rPr>
              <w:t>在全国借鉴推广</w:t>
            </w:r>
            <w:r>
              <w:rPr>
                <w:color w:val="262626"/>
                <w:sz w:val="19"/>
                <w:szCs w:val="19"/>
                <w:bdr w:val="none" w:color="auto" w:sz="0" w:space="0"/>
              </w:rPr>
              <w:t> </w:t>
            </w:r>
          </w:p>
        </w:tc>
        <w:tc>
          <w:tcPr>
            <w:tcW w:w="1140"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Fonts w:hint="eastAsia" w:ascii="宋体" w:hAnsi="宋体" w:eastAsia="宋体" w:cs="宋体"/>
                <w:color w:val="000000"/>
                <w:sz w:val="19"/>
                <w:szCs w:val="19"/>
                <w:bdr w:val="none" w:color="auto" w:sz="0" w:space="0"/>
              </w:rPr>
              <w:t>结合扩大开放</w:t>
            </w:r>
            <w:r>
              <w:rPr>
                <w:color w:val="262626"/>
                <w:sz w:val="19"/>
                <w:szCs w:val="19"/>
                <w:bdr w:val="none" w:color="auto" w:sz="0" w:space="0"/>
              </w:rPr>
              <w:br w:type="textWrapping"/>
            </w:r>
            <w:r>
              <w:rPr>
                <w:rFonts w:hint="eastAsia" w:ascii="宋体" w:hAnsi="宋体" w:eastAsia="宋体" w:cs="宋体"/>
                <w:color w:val="000000"/>
                <w:sz w:val="19"/>
                <w:szCs w:val="19"/>
                <w:bdr w:val="none" w:color="auto" w:sz="0" w:space="0"/>
              </w:rPr>
              <w:t>情况</w:t>
            </w:r>
            <w:r>
              <w:rPr>
                <w:color w:val="262626"/>
                <w:sz w:val="19"/>
                <w:szCs w:val="19"/>
                <w:bdr w:val="none" w:color="auto" w:sz="0" w:space="0"/>
              </w:rPr>
              <w:t> </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24 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期货保税交割海关监管制度</w:t>
            </w:r>
            <w:r>
              <w:rPr>
                <w:color w:val="262626"/>
                <w:sz w:val="19"/>
                <w:szCs w:val="19"/>
                <w:bdr w:val="none" w:color="auto" w:sz="0" w:space="0"/>
              </w:rPr>
              <w:t> </w:t>
            </w:r>
          </w:p>
        </w:tc>
        <w:tc>
          <w:tcPr>
            <w:tcW w:w="1398" w:type="dxa"/>
            <w:vMerge w:val="restart"/>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Fonts w:hint="eastAsia" w:ascii="宋体" w:hAnsi="宋体" w:eastAsia="宋体" w:cs="宋体"/>
                <w:color w:val="000000"/>
                <w:sz w:val="19"/>
                <w:szCs w:val="19"/>
                <w:bdr w:val="none" w:color="auto" w:sz="0" w:space="0"/>
              </w:rPr>
              <w:t>海关总署</w:t>
            </w:r>
            <w:r>
              <w:rPr>
                <w:color w:val="262626"/>
                <w:sz w:val="19"/>
                <w:szCs w:val="19"/>
                <w:bdr w:val="none" w:color="auto" w:sz="0" w:space="0"/>
              </w:rPr>
              <w:t>   </w:t>
            </w:r>
          </w:p>
        </w:tc>
        <w:tc>
          <w:tcPr>
            <w:tcW w:w="1574" w:type="dxa"/>
            <w:vMerge w:val="restart"/>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Fonts w:hint="eastAsia" w:ascii="宋体" w:hAnsi="宋体" w:eastAsia="宋体" w:cs="宋体"/>
                <w:color w:val="000000"/>
                <w:sz w:val="19"/>
                <w:szCs w:val="19"/>
                <w:bdr w:val="none" w:color="auto" w:sz="0" w:space="0"/>
              </w:rPr>
              <w:t>海关特殊监管区域</w:t>
            </w:r>
          </w:p>
        </w:tc>
        <w:tc>
          <w:tcPr>
            <w:tcW w:w="1140" w:type="dxa"/>
            <w:vMerge w:val="restart"/>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2015</w:t>
            </w:r>
            <w:r>
              <w:rPr>
                <w:rFonts w:hint="eastAsia" w:ascii="宋体" w:hAnsi="宋体" w:eastAsia="宋体" w:cs="宋体"/>
                <w:color w:val="000000"/>
                <w:sz w:val="19"/>
                <w:szCs w:val="19"/>
                <w:bdr w:val="none" w:color="auto" w:sz="0" w:space="0"/>
              </w:rPr>
              <w:t>年</w:t>
            </w:r>
            <w:r>
              <w:rPr>
                <w:color w:val="262626"/>
                <w:sz w:val="19"/>
                <w:szCs w:val="19"/>
                <w:bdr w:val="none" w:color="auto" w:sz="0" w:space="0"/>
              </w:rPr>
              <w:t>6</w:t>
            </w:r>
            <w:r>
              <w:rPr>
                <w:rFonts w:hint="eastAsia" w:ascii="宋体" w:hAnsi="宋体" w:eastAsia="宋体" w:cs="宋体"/>
                <w:color w:val="000000"/>
                <w:sz w:val="19"/>
                <w:szCs w:val="19"/>
                <w:bdr w:val="none" w:color="auto" w:sz="0" w:space="0"/>
              </w:rPr>
              <w:t>月</w:t>
            </w:r>
            <w:r>
              <w:rPr>
                <w:color w:val="262626"/>
                <w:sz w:val="19"/>
                <w:szCs w:val="19"/>
                <w:bdr w:val="none" w:color="auto" w:sz="0" w:space="0"/>
              </w:rPr>
              <w:br w:type="textWrapping"/>
            </w:r>
            <w:r>
              <w:rPr>
                <w:color w:val="262626"/>
                <w:sz w:val="19"/>
                <w:szCs w:val="19"/>
                <w:bdr w:val="none" w:color="auto" w:sz="0" w:space="0"/>
              </w:rPr>
              <w:t>30</w:t>
            </w:r>
            <w:r>
              <w:rPr>
                <w:rFonts w:hint="eastAsia" w:ascii="宋体" w:hAnsi="宋体" w:eastAsia="宋体" w:cs="宋体"/>
                <w:color w:val="000000"/>
                <w:sz w:val="19"/>
                <w:szCs w:val="19"/>
                <w:bdr w:val="none" w:color="auto" w:sz="0" w:space="0"/>
              </w:rPr>
              <w:t>日前</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25 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境内外维修海关监管制度</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26 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融资租赁海关监管制度</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27 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进口货物预检验</w:t>
            </w:r>
            <w:r>
              <w:rPr>
                <w:color w:val="262626"/>
                <w:sz w:val="19"/>
                <w:szCs w:val="19"/>
                <w:bdr w:val="none" w:color="auto" w:sz="0" w:space="0"/>
              </w:rPr>
              <w:t> </w:t>
            </w:r>
          </w:p>
        </w:tc>
        <w:tc>
          <w:tcPr>
            <w:tcW w:w="1398" w:type="dxa"/>
            <w:vMerge w:val="restart"/>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Fonts w:hint="eastAsia" w:ascii="宋体" w:hAnsi="宋体" w:eastAsia="宋体" w:cs="宋体"/>
                <w:color w:val="000000"/>
                <w:sz w:val="19"/>
                <w:szCs w:val="19"/>
                <w:bdr w:val="none" w:color="auto" w:sz="0" w:space="0"/>
              </w:rPr>
              <w:t>质检总局</w:t>
            </w:r>
            <w:r>
              <w:rPr>
                <w:color w:val="262626"/>
                <w:sz w:val="19"/>
                <w:szCs w:val="19"/>
                <w:bdr w:val="none" w:color="auto" w:sz="0" w:space="0"/>
              </w:rPr>
              <w:t>   </w:t>
            </w: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28 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分线监督管理制度</w:t>
            </w:r>
            <w:r>
              <w:rPr>
                <w:color w:val="262626"/>
                <w:sz w:val="19"/>
                <w:szCs w:val="19"/>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714"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29 </w:t>
            </w:r>
          </w:p>
        </w:tc>
        <w:tc>
          <w:tcPr>
            <w:tcW w:w="2734"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动植物及其产品检疫审批负面清单管理</w:t>
            </w:r>
            <w:r>
              <w:rPr>
                <w:color w:val="262626"/>
                <w:sz w:val="24"/>
                <w:szCs w:val="24"/>
                <w:bdr w:val="none" w:color="auto" w:sz="0" w:space="0"/>
              </w:rPr>
              <w:t> </w:t>
            </w:r>
          </w:p>
        </w:tc>
        <w:tc>
          <w:tcPr>
            <w:tcW w:w="1398"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574"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c>
          <w:tcPr>
            <w:tcW w:w="114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80" w:afterAutospacing="0" w:line="435" w:lineRule="atLeast"/>
        <w:ind w:left="0" w:right="0"/>
        <w:jc w:val="left"/>
        <w:rPr>
          <w:color w:val="262626"/>
        </w:rPr>
      </w:pPr>
      <w:r>
        <w:rPr>
          <w:rFonts w:hint="default" w:ascii="Helvetica" w:hAnsi="Helvetica" w:eastAsia="Helvetica" w:cs="Helvetica"/>
          <w:i w:val="0"/>
          <w:caps w:val="0"/>
          <w:color w:val="262626"/>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8" w:lineRule="atLeast"/>
        <w:ind w:left="0" w:right="0"/>
        <w:jc w:val="left"/>
        <w:rPr>
          <w:color w:val="262626"/>
        </w:rPr>
      </w:pPr>
      <w:r>
        <w:rPr>
          <w:rStyle w:val="5"/>
          <w:rFonts w:hint="default" w:ascii="Helvetica" w:hAnsi="Helvetica" w:eastAsia="Helvetica" w:cs="Helvetica"/>
          <w:b/>
          <w:i w:val="0"/>
          <w:caps w:val="0"/>
          <w:color w:val="262626"/>
          <w:spacing w:val="0"/>
          <w:sz w:val="24"/>
          <w:szCs w:val="24"/>
          <w:bdr w:val="none" w:color="auto" w:sz="0" w:space="0"/>
        </w:rPr>
        <w:br w:type="textWrapping"/>
      </w:r>
      <w:r>
        <w:rPr>
          <w:rFonts w:hint="default" w:ascii="Helvetica" w:hAnsi="Helvetica" w:eastAsia="Helvetica" w:cs="Helvetica"/>
          <w:i w:val="0"/>
          <w:caps w:val="0"/>
          <w:color w:val="262626"/>
          <w:spacing w:val="0"/>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left"/>
        <w:rPr>
          <w:color w:val="262626"/>
        </w:rPr>
      </w:pPr>
      <w:r>
        <w:rPr>
          <w:rStyle w:val="5"/>
          <w:rFonts w:hint="default" w:ascii="Helvetica" w:hAnsi="Helvetica" w:eastAsia="Helvetica" w:cs="Helvetica"/>
          <w:b/>
          <w:i w:val="0"/>
          <w:caps w:val="0"/>
          <w:color w:val="262626"/>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rStyle w:val="5"/>
          <w:rFonts w:hint="eastAsia" w:ascii="黑体" w:hAnsi="宋体" w:eastAsia="黑体" w:cs="黑体"/>
          <w:b/>
          <w:i w:val="0"/>
          <w:caps w:val="0"/>
          <w:color w:val="000000"/>
          <w:spacing w:val="0"/>
          <w:sz w:val="24"/>
          <w:szCs w:val="24"/>
          <w:bdr w:val="none" w:color="auto" w:sz="0" w:space="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rStyle w:val="5"/>
          <w:rFonts w:hint="eastAsia" w:ascii="黑体" w:hAnsi="宋体" w:eastAsia="黑体" w:cs="黑体"/>
          <w:b/>
          <w:i w:val="0"/>
          <w:caps w:val="0"/>
          <w:color w:val="000000"/>
          <w:spacing w:val="0"/>
          <w:sz w:val="24"/>
          <w:szCs w:val="24"/>
          <w:bdr w:val="none" w:color="auto" w:sz="0" w:space="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rStyle w:val="5"/>
          <w:rFonts w:hint="eastAsia" w:ascii="黑体" w:hAnsi="宋体" w:eastAsia="黑体" w:cs="黑体"/>
          <w:b/>
          <w:i w:val="0"/>
          <w:caps w:val="0"/>
          <w:color w:val="000000"/>
          <w:spacing w:val="0"/>
          <w:sz w:val="24"/>
          <w:szCs w:val="24"/>
          <w:bdr w:val="none" w:color="auto" w:sz="0" w:space="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rStyle w:val="5"/>
          <w:rFonts w:hint="eastAsia" w:ascii="黑体" w:hAnsi="宋体" w:eastAsia="黑体" w:cs="黑体"/>
          <w:b/>
          <w:i w:val="0"/>
          <w:caps w:val="0"/>
          <w:color w:val="000000"/>
          <w:spacing w:val="0"/>
          <w:sz w:val="24"/>
          <w:szCs w:val="24"/>
          <w:bdr w:val="none" w:color="auto" w:sz="0" w:space="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rStyle w:val="5"/>
          <w:rFonts w:hint="eastAsia" w:ascii="黑体" w:hAnsi="宋体" w:eastAsia="黑体" w:cs="黑体"/>
          <w:b/>
          <w:i w:val="0"/>
          <w:caps w:val="0"/>
          <w:color w:val="000000"/>
          <w:spacing w:val="0"/>
          <w:sz w:val="24"/>
          <w:szCs w:val="24"/>
          <w:bdr w:val="none" w:color="auto" w:sz="0" w:space="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rStyle w:val="5"/>
          <w:rFonts w:hint="eastAsia" w:ascii="黑体" w:hAnsi="宋体" w:eastAsia="黑体" w:cs="黑体"/>
          <w:b/>
          <w:i w:val="0"/>
          <w:caps w:val="0"/>
          <w:color w:val="000000"/>
          <w:spacing w:val="0"/>
          <w:sz w:val="24"/>
          <w:szCs w:val="24"/>
          <w:bdr w:val="none" w:color="auto" w:sz="0" w:space="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rStyle w:val="5"/>
          <w:rFonts w:hint="eastAsia" w:ascii="黑体" w:hAnsi="宋体" w:eastAsia="黑体" w:cs="黑体"/>
          <w:b/>
          <w:i w:val="0"/>
          <w:caps w:val="0"/>
          <w:color w:val="000000"/>
          <w:spacing w:val="0"/>
          <w:sz w:val="24"/>
          <w:szCs w:val="24"/>
          <w:bdr w:val="none" w:color="auto" w:sz="0" w:space="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rStyle w:val="5"/>
          <w:rFonts w:hint="eastAsia" w:ascii="黑体" w:hAnsi="宋体" w:eastAsia="黑体" w:cs="黑体"/>
          <w:b/>
          <w:i w:val="0"/>
          <w:caps w:val="0"/>
          <w:color w:val="000000"/>
          <w:spacing w:val="0"/>
          <w:sz w:val="24"/>
          <w:szCs w:val="24"/>
          <w:bdr w:val="none" w:color="auto" w:sz="0" w:space="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rStyle w:val="5"/>
          <w:rFonts w:hint="eastAsia" w:ascii="黑体" w:hAnsi="宋体" w:eastAsia="黑体" w:cs="黑体"/>
          <w:b/>
          <w:i w:val="0"/>
          <w:caps w:val="0"/>
          <w:color w:val="000000"/>
          <w:spacing w:val="0"/>
          <w:sz w:val="24"/>
          <w:szCs w:val="24"/>
          <w:bdr w:val="none" w:color="auto" w:sz="0" w:space="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rStyle w:val="5"/>
          <w:rFonts w:hint="eastAsia" w:ascii="黑体" w:hAnsi="宋体" w:eastAsia="黑体" w:cs="黑体"/>
          <w:b/>
          <w:i w:val="0"/>
          <w:caps w:val="0"/>
          <w:color w:val="000000"/>
          <w:spacing w:val="0"/>
          <w:sz w:val="24"/>
          <w:szCs w:val="24"/>
          <w:bdr w:val="none" w:color="auto" w:sz="0" w:space="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rStyle w:val="5"/>
          <w:rFonts w:hint="eastAsia" w:ascii="黑体" w:hAnsi="宋体" w:eastAsia="黑体" w:cs="黑体"/>
          <w:b/>
          <w:i w:val="0"/>
          <w:caps w:val="0"/>
          <w:color w:val="000000"/>
          <w:spacing w:val="0"/>
          <w:sz w:val="24"/>
          <w:szCs w:val="24"/>
          <w:bdr w:val="none" w:color="auto" w:sz="0" w:space="0"/>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Style w:val="5"/>
          <w:rFonts w:hint="eastAsia" w:ascii="黑体" w:hAnsi="宋体" w:eastAsia="黑体" w:cs="黑体"/>
          <w:b/>
          <w:i w:val="0"/>
          <w:caps w:val="0"/>
          <w:color w:val="000000"/>
          <w:spacing w:val="0"/>
          <w:sz w:val="24"/>
          <w:szCs w:val="24"/>
          <w:bdr w:val="none" w:color="auto" w:sz="0" w:space="0"/>
        </w:rPr>
        <w:t>附件2</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黑体" w:hAnsi="宋体" w:eastAsia="黑体" w:cs="黑体"/>
          <w:i w:val="0"/>
          <w:caps w:val="0"/>
          <w:color w:val="000000"/>
          <w:spacing w:val="0"/>
          <w:sz w:val="24"/>
          <w:szCs w:val="24"/>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Style w:val="5"/>
          <w:rFonts w:hint="eastAsia" w:ascii="华文中宋" w:hAnsi="华文中宋" w:eastAsia="华文中宋" w:cs="华文中宋"/>
          <w:b/>
          <w:i w:val="0"/>
          <w:caps w:val="0"/>
          <w:color w:val="000000"/>
          <w:spacing w:val="0"/>
          <w:sz w:val="28"/>
          <w:szCs w:val="28"/>
          <w:bdr w:val="none" w:color="auto" w:sz="0" w:space="0"/>
        </w:rPr>
        <w:t>各省（区、市）人民政府借鉴推广的改革事项任务表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Fonts w:hint="eastAsia" w:ascii="华文中宋" w:hAnsi="华文中宋" w:eastAsia="华文中宋" w:cs="华文中宋"/>
          <w:i w:val="0"/>
          <w:caps w:val="0"/>
          <w:color w:val="000000"/>
          <w:spacing w:val="0"/>
          <w:sz w:val="27"/>
          <w:szCs w:val="27"/>
          <w:bdr w:val="none" w:color="auto" w:sz="0" w:space="0"/>
        </w:rPr>
        <w:t> </w:t>
      </w:r>
    </w:p>
    <w:tbl>
      <w:tblPr>
        <w:tblW w:w="7710" w:type="dxa"/>
        <w:jc w:val="center"/>
        <w:tblInd w:w="298"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630"/>
        <w:gridCol w:w="2970"/>
        <w:gridCol w:w="2550"/>
        <w:gridCol w:w="156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630" w:type="dxa"/>
            <w:tcBorders>
              <w:top w:val="inset" w:color="000000" w:sz="6" w:space="0"/>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Style w:val="5"/>
                <w:rFonts w:hint="eastAsia" w:ascii="宋体" w:hAnsi="宋体" w:eastAsia="宋体" w:cs="宋体"/>
                <w:b/>
                <w:color w:val="000000"/>
                <w:sz w:val="19"/>
                <w:szCs w:val="19"/>
                <w:bdr w:val="none" w:color="auto" w:sz="0" w:space="0"/>
              </w:rPr>
              <w:t>序号</w:t>
            </w:r>
          </w:p>
        </w:tc>
        <w:tc>
          <w:tcPr>
            <w:tcW w:w="2970" w:type="dxa"/>
            <w:tcBorders>
              <w:top w:val="inset" w:color="000000" w:sz="6" w:space="0"/>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Style w:val="5"/>
                <w:rFonts w:hint="eastAsia" w:ascii="宋体" w:hAnsi="宋体" w:eastAsia="宋体" w:cs="宋体"/>
                <w:b/>
                <w:color w:val="000000"/>
                <w:sz w:val="19"/>
                <w:szCs w:val="19"/>
                <w:bdr w:val="none" w:color="auto" w:sz="0" w:space="0"/>
              </w:rPr>
              <w:t>改革事项</w:t>
            </w:r>
          </w:p>
        </w:tc>
        <w:tc>
          <w:tcPr>
            <w:tcW w:w="2550" w:type="dxa"/>
            <w:tcBorders>
              <w:top w:val="inset" w:color="000000" w:sz="6" w:space="0"/>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Style w:val="5"/>
                <w:rFonts w:hint="eastAsia" w:ascii="宋体" w:hAnsi="宋体" w:eastAsia="宋体" w:cs="宋体"/>
                <w:b/>
                <w:color w:val="000000"/>
                <w:sz w:val="19"/>
                <w:szCs w:val="19"/>
                <w:bdr w:val="none" w:color="auto" w:sz="0" w:space="0"/>
              </w:rPr>
              <w:t>主要内容</w:t>
            </w:r>
          </w:p>
        </w:tc>
        <w:tc>
          <w:tcPr>
            <w:tcW w:w="1560" w:type="dxa"/>
            <w:tcBorders>
              <w:top w:val="inset" w:color="000000" w:sz="6" w:space="0"/>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Style w:val="5"/>
                <w:rFonts w:hint="eastAsia" w:ascii="宋体" w:hAnsi="宋体" w:eastAsia="宋体" w:cs="宋体"/>
                <w:b/>
                <w:color w:val="000000"/>
                <w:sz w:val="19"/>
                <w:szCs w:val="19"/>
                <w:bdr w:val="none" w:color="auto" w:sz="0" w:space="0"/>
              </w:rPr>
              <w:t>时限</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630"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1</w:t>
            </w:r>
          </w:p>
        </w:tc>
        <w:tc>
          <w:tcPr>
            <w:tcW w:w="2970"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企业设立实行</w:t>
            </w:r>
            <w:r>
              <w:rPr>
                <w:color w:val="262626"/>
                <w:sz w:val="19"/>
                <w:szCs w:val="19"/>
                <w:bdr w:val="none" w:color="auto" w:sz="0" w:space="0"/>
              </w:rPr>
              <w:t>“</w:t>
            </w:r>
            <w:r>
              <w:rPr>
                <w:rFonts w:hint="eastAsia" w:ascii="宋体" w:hAnsi="宋体" w:eastAsia="宋体" w:cs="宋体"/>
                <w:color w:val="000000"/>
                <w:sz w:val="19"/>
                <w:szCs w:val="19"/>
                <w:bdr w:val="none" w:color="auto" w:sz="0" w:space="0"/>
              </w:rPr>
              <w:t>单一窗口</w:t>
            </w:r>
            <w:r>
              <w:rPr>
                <w:color w:val="262626"/>
                <w:sz w:val="19"/>
                <w:szCs w:val="19"/>
                <w:bdr w:val="none" w:color="auto" w:sz="0" w:space="0"/>
              </w:rPr>
              <w:t>”</w:t>
            </w:r>
          </w:p>
        </w:tc>
        <w:tc>
          <w:tcPr>
            <w:tcW w:w="2550"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企业设立实行</w:t>
            </w:r>
            <w:r>
              <w:rPr>
                <w:color w:val="262626"/>
                <w:sz w:val="19"/>
                <w:szCs w:val="19"/>
                <w:bdr w:val="none" w:color="auto" w:sz="0" w:space="0"/>
              </w:rPr>
              <w:t>“</w:t>
            </w:r>
            <w:r>
              <w:rPr>
                <w:rFonts w:hint="eastAsia" w:ascii="宋体" w:hAnsi="宋体" w:eastAsia="宋体" w:cs="宋体"/>
                <w:color w:val="000000"/>
                <w:sz w:val="19"/>
                <w:szCs w:val="19"/>
                <w:bdr w:val="none" w:color="auto" w:sz="0" w:space="0"/>
              </w:rPr>
              <w:t>一个窗口</w:t>
            </w:r>
            <w:r>
              <w:rPr>
                <w:color w:val="262626"/>
                <w:sz w:val="19"/>
                <w:szCs w:val="19"/>
                <w:bdr w:val="none" w:color="auto" w:sz="0" w:space="0"/>
              </w:rPr>
              <w:t>”</w:t>
            </w:r>
            <w:r>
              <w:rPr>
                <w:rFonts w:hint="eastAsia" w:ascii="宋体" w:hAnsi="宋体" w:eastAsia="宋体" w:cs="宋体"/>
                <w:color w:val="000000"/>
                <w:sz w:val="19"/>
                <w:szCs w:val="19"/>
                <w:bdr w:val="none" w:color="auto" w:sz="0" w:space="0"/>
              </w:rPr>
              <w:t>集中受理</w:t>
            </w:r>
          </w:p>
        </w:tc>
        <w:tc>
          <w:tcPr>
            <w:tcW w:w="1560" w:type="dxa"/>
            <w:vMerge w:val="restart"/>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2—3</w:t>
            </w:r>
            <w:r>
              <w:rPr>
                <w:rFonts w:hint="eastAsia" w:ascii="宋体" w:hAnsi="宋体" w:eastAsia="宋体" w:cs="宋体"/>
                <w:color w:val="000000"/>
                <w:sz w:val="19"/>
                <w:szCs w:val="19"/>
                <w:bdr w:val="none" w:color="auto" w:sz="0" w:space="0"/>
              </w:rPr>
              <w:t>年内</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630"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2</w:t>
            </w:r>
          </w:p>
        </w:tc>
        <w:tc>
          <w:tcPr>
            <w:tcW w:w="2970"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社会信用体系</w:t>
            </w:r>
          </w:p>
        </w:tc>
        <w:tc>
          <w:tcPr>
            <w:tcW w:w="2550"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建设公共信用信息服务平台，完善与信用信息、信用产品使用有关的系列制度等</w:t>
            </w:r>
          </w:p>
        </w:tc>
        <w:tc>
          <w:tcPr>
            <w:tcW w:w="156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630"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3</w:t>
            </w:r>
          </w:p>
        </w:tc>
        <w:tc>
          <w:tcPr>
            <w:tcW w:w="2970"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信息共享和综合执法制度</w:t>
            </w:r>
          </w:p>
        </w:tc>
        <w:tc>
          <w:tcPr>
            <w:tcW w:w="2550"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建设信息服务和共享平台，实现各管理部门监管信息的归集应用和全面共享；建立各部门联动执法、协调合作机制等</w:t>
            </w:r>
          </w:p>
        </w:tc>
        <w:tc>
          <w:tcPr>
            <w:tcW w:w="156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630"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4</w:t>
            </w:r>
          </w:p>
        </w:tc>
        <w:tc>
          <w:tcPr>
            <w:tcW w:w="2970"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企业年度报告公示和经营异常名录制度</w:t>
            </w:r>
          </w:p>
        </w:tc>
        <w:tc>
          <w:tcPr>
            <w:tcW w:w="2550"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与工商登记制度改革相配套，运用市场化、社会化的方式对企业进行监管</w:t>
            </w:r>
          </w:p>
        </w:tc>
        <w:tc>
          <w:tcPr>
            <w:tcW w:w="156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jc w:val="center"/>
        </w:trPr>
        <w:tc>
          <w:tcPr>
            <w:tcW w:w="630"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5</w:t>
            </w:r>
          </w:p>
        </w:tc>
        <w:tc>
          <w:tcPr>
            <w:tcW w:w="2970"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社会力量参与市场监督制度</w:t>
            </w:r>
          </w:p>
        </w:tc>
        <w:tc>
          <w:tcPr>
            <w:tcW w:w="2550"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通过扶持引导、购买服务、制定标准等制度安排，支持行业协会和专业服务机构参与市场监督</w:t>
            </w:r>
          </w:p>
        </w:tc>
        <w:tc>
          <w:tcPr>
            <w:tcW w:w="1560" w:type="dxa"/>
            <w:vMerge w:val="continue"/>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rPr>
                <w:rFonts w:hint="eastAsia" w:ascii="宋体"/>
                <w:sz w:val="24"/>
                <w:szCs w:val="24"/>
              </w:rPr>
            </w:pP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Ex>
        <w:trPr>
          <w:jc w:val="center"/>
        </w:trPr>
        <w:tc>
          <w:tcPr>
            <w:tcW w:w="630" w:type="dxa"/>
            <w:tcBorders>
              <w:top w:val="nil"/>
              <w:left w:val="inset" w:color="000000" w:sz="6" w:space="0"/>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color w:val="262626"/>
                <w:sz w:val="19"/>
                <w:szCs w:val="19"/>
                <w:bdr w:val="none" w:color="auto" w:sz="0" w:space="0"/>
              </w:rPr>
              <w:t>6</w:t>
            </w:r>
          </w:p>
        </w:tc>
        <w:tc>
          <w:tcPr>
            <w:tcW w:w="2970"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完善专业监管制度</w:t>
            </w:r>
          </w:p>
        </w:tc>
        <w:tc>
          <w:tcPr>
            <w:tcW w:w="2550"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left"/>
              <w:rPr>
                <w:color w:val="262626"/>
              </w:rPr>
            </w:pPr>
            <w:r>
              <w:rPr>
                <w:rFonts w:hint="eastAsia" w:ascii="宋体" w:hAnsi="宋体" w:eastAsia="宋体" w:cs="宋体"/>
                <w:color w:val="000000"/>
                <w:sz w:val="19"/>
                <w:szCs w:val="19"/>
                <w:bdr w:val="none" w:color="auto" w:sz="0" w:space="0"/>
              </w:rPr>
              <w:t>配合行业监管部门完善专业监管制度</w:t>
            </w:r>
          </w:p>
        </w:tc>
        <w:tc>
          <w:tcPr>
            <w:tcW w:w="1560" w:type="dxa"/>
            <w:tcBorders>
              <w:top w:val="nil"/>
              <w:left w:val="nil"/>
              <w:bottom w:val="inset" w:color="000000" w:sz="6" w:space="0"/>
              <w:right w:val="inset" w:color="000000" w:sz="6" w:space="0"/>
            </w:tcBorders>
            <w:shd w:val="clear" w:color="auto" w:fill="FFFFFF"/>
            <w:tcMar>
              <w:top w:w="0" w:type="dxa"/>
              <w:left w:w="0" w:type="dxa"/>
              <w:bottom w:w="0" w:type="dxa"/>
              <w:right w:w="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jc w:val="center"/>
              <w:rPr>
                <w:color w:val="262626"/>
              </w:rPr>
            </w:pPr>
            <w:r>
              <w:rPr>
                <w:rFonts w:hint="eastAsia" w:ascii="宋体" w:hAnsi="宋体" w:eastAsia="宋体" w:cs="宋体"/>
                <w:color w:val="000000"/>
                <w:sz w:val="19"/>
                <w:szCs w:val="19"/>
                <w:bdr w:val="none" w:color="auto" w:sz="0" w:space="0"/>
              </w:rPr>
              <w:t>结合扩大开放情况</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 w:name="仿宋_GB2312">
    <w:panose1 w:val="0201060903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8DC1C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2021-08-05T01:10:48Z</dcterms:created>
  <dc:creator>lenovo</dc:creator>
  <cp:lastModifiedBy>426</cp:lastModifiedBy>
  <dcterms:modified xsi:type="dcterms:W3CDTF">2021-08-05T01:11:24Z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