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single" w:color="DCDCDC" w:sz="6" w:space="18"/>
          <w:right w:val="none" w:color="auto" w:sz="0" w:space="0"/>
        </w:pBdr>
        <w:spacing w:before="0" w:beforeAutospacing="0" w:after="0" w:afterAutospacing="0" w:line="825" w:lineRule="atLeast"/>
        <w:ind w:left="0" w:right="0" w:firstLine="0"/>
        <w:jc w:val="center"/>
        <w:rPr>
          <w:rFonts w:ascii="Helvetica" w:hAnsi="Helvetica" w:eastAsia="Helvetica" w:cs="Helvetica"/>
          <w:b/>
          <w:i w:val="0"/>
          <w:caps w:val="0"/>
          <w:color w:val="262626"/>
          <w:spacing w:val="0"/>
          <w:sz w:val="54"/>
          <w:szCs w:val="54"/>
        </w:rPr>
      </w:pPr>
      <w:bookmarkStart w:id="0" w:name="_GoBack"/>
      <w:r>
        <w:rPr>
          <w:rFonts w:hint="default" w:ascii="Helvetica" w:hAnsi="Helvetica" w:eastAsia="Helvetica" w:cs="Helvetica"/>
          <w:b/>
          <w:i w:val="0"/>
          <w:caps w:val="0"/>
          <w:color w:val="262626"/>
          <w:spacing w:val="0"/>
          <w:kern w:val="0"/>
          <w:sz w:val="54"/>
          <w:szCs w:val="54"/>
          <w:bdr w:val="none" w:color="auto" w:sz="0" w:space="0"/>
          <w:lang w:val="en-US" w:eastAsia="zh-CN" w:bidi="ar"/>
        </w:rPr>
        <w:t>国务院关于做好自由贸易试验区新一批改革试点经验复制推广工作的通知</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center"/>
        <w:rPr>
          <w:color w:val="262626"/>
        </w:rPr>
      </w:pPr>
      <w:r>
        <w:rPr>
          <w:rFonts w:hint="default" w:ascii="Helvetica" w:hAnsi="Helvetica" w:eastAsia="Helvetica" w:cs="Helvetica"/>
          <w:i w:val="0"/>
          <w:caps w:val="0"/>
          <w:color w:val="262626"/>
          <w:spacing w:val="0"/>
          <w:sz w:val="27"/>
          <w:szCs w:val="27"/>
          <w:bdr w:val="none" w:color="auto" w:sz="0" w:space="0"/>
        </w:rPr>
        <w:t>国发[2016]63号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各省、自治区、直辖市人民政府，国务院各部委、各直属机构：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设立自由贸易试验区(以下简称自贸试验区)是党中央、国务院在新形势下作出的重大决策。2015年4月，中国(广东)自由贸易试验区、中国(天津)自由贸易试验区、中国(福建)自由贸易试验区以及中国(上海)自由贸易试验区扩展区域运行。1年多来，4省市和有关部门按照党中央、国务院部署，以制度创新为核心，简政放权、放管结合、优化服务，推动自贸试验区在投资、贸易、金融、事中事后监管等多个方面进行了大胆探索，形成了新一批改革创新成果。经党中央、国务院批准，自贸试验区可复制、可推广的新一批改革试点经验将在全国范围内复制推广。现就有关事项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一、复制推广的主要内容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(一)在全国范围内复制推广的改革事项。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1.投资管理领域：“负面清单以外领域外商投资企业设立及变更审批改革”、“税控发票领用网上申请”、“企业简易注销”等3项。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2.贸易便利化领域：“依托电子口岸公共平台建设国际贸易单一窗口，推进单一窗口免费申报机制”、“国际海关经认证的经营者(AEO)互认制度”、“出境加工监管”、“企业协调员制度”、“原产地签证管理改革创新”、“国际航行船舶检疫监管新模式”、“免除低风险动植物检疫证书清单制度”等7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3.事中事后监管措施：“引入中介机构开展保税核查、核销和企业稽查”、“海关企业进出口信用信息公示制度”等2项。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(二)在海关特殊监管区域复制推广的改革事项。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包括：“入境维修产品监管新模式”、“一次备案，多次使用”、“委内加工监管”、“仓储货物按状态分类监管”、“大宗商品现货保税交易”、“保税展示交易货物分线监管、预检验和登记核销管理模式”、“海关特殊监管区域间保税货物流转监管模式”等7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二、高度重视推广工作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各地区、各部门要深刻认识复制推广自贸试验区改革试点经验的重大意义，将复制推广工作作为贯彻落实创新、协调、绿色、开放、共享的发展理念，推进供给侧结构性改革的重要举措，积极转变政府管理理念，提高政府管理水平，着力推动制度创新，深入推进简政放权、放管结合、优化服务改革，逐步构建与我国开放型经济发展要求相适应的新体制、新模式，持续释放改革红利，增强发展新动能、拓展发展新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三、切实做好组织实施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各省(区、市)人民政府要将自贸试验区改革试点经验复制推广工作列为本地区重点工作，完善领导机制和复制推广工作机制，积极创造条件、扎实推进，确保改革试点经验落地生根，产生实效。国务院各有关部门要按照规定时限完成复制推广工作，需报国务院批准的事项要按程序报批，需调整有关行政法规、国务院文件和部门规章规定的，要按法定程序办理。国务院自由贸易试验区工作部际联席会议办公室要适时督促检查改革试点经验复制推广工作进展情况及其效果。复制推广工作中遇到的重大问题，要及时向国务院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left"/>
        <w:rPr>
          <w:color w:val="262626"/>
        </w:rPr>
      </w:pPr>
      <w:r>
        <w:rPr>
          <w:rFonts w:hint="default" w:ascii="Helvetica" w:hAnsi="Helvetica" w:eastAsia="Helvetica" w:cs="Helvetica"/>
          <w:i w:val="0"/>
          <w:caps w:val="0"/>
          <w:color w:val="333333"/>
          <w:spacing w:val="0"/>
          <w:sz w:val="27"/>
          <w:szCs w:val="27"/>
          <w:bdr w:val="none" w:color="auto" w:sz="0" w:space="0"/>
        </w:rPr>
        <w:t>　　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center"/>
        <w:rPr>
          <w:color w:val="262626"/>
        </w:rPr>
      </w:pPr>
      <w:r>
        <w:rPr>
          <w:rFonts w:hint="default" w:ascii="Helvetica" w:hAnsi="Helvetica" w:eastAsia="Helvetica" w:cs="Helvetica"/>
          <w:i w:val="0"/>
          <w:caps w:val="0"/>
          <w:color w:val="333333"/>
          <w:spacing w:val="0"/>
          <w:sz w:val="27"/>
          <w:szCs w:val="27"/>
          <w:bdr w:val="none" w:color="auto" w:sz="0" w:space="0"/>
        </w:rPr>
        <w:t>自由贸易试验区改革试点经验复制推广工作任务分工表</w:t>
      </w:r>
    </w:p>
    <w:tbl>
      <w:tblPr>
        <w:tblW w:w="8516"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
      <w:tblGrid>
        <w:gridCol w:w="810"/>
        <w:gridCol w:w="3688"/>
        <w:gridCol w:w="1559"/>
        <w:gridCol w:w="1274"/>
        <w:gridCol w:w="11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0" w:type="dxa"/>
            <w:bottom w:w="0" w:type="dxa"/>
            <w:right w:w="0" w:type="dxa"/>
          </w:tblCellMar>
        </w:tblPrEx>
        <w:trPr>
          <w:jc w:val="center"/>
        </w:trPr>
        <w:tc>
          <w:tcPr>
            <w:tcW w:w="81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19"/>
                <w:szCs w:val="19"/>
                <w:bdr w:val="none" w:color="auto" w:sz="0" w:space="0"/>
              </w:rPr>
              <w:t>序号</w:t>
            </w:r>
          </w:p>
        </w:tc>
        <w:tc>
          <w:tcPr>
            <w:tcW w:w="3688" w:type="dxa"/>
            <w:tcBorders>
              <w:top w:val="single" w:color="000000" w:sz="6" w:space="0"/>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19"/>
                <w:szCs w:val="19"/>
                <w:bdr w:val="none" w:color="auto" w:sz="0" w:space="0"/>
              </w:rPr>
              <w:t>改革事项</w:t>
            </w:r>
          </w:p>
        </w:tc>
        <w:tc>
          <w:tcPr>
            <w:tcW w:w="1559" w:type="dxa"/>
            <w:tcBorders>
              <w:top w:val="single" w:color="000000" w:sz="6" w:space="0"/>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19"/>
                <w:szCs w:val="19"/>
                <w:bdr w:val="none" w:color="auto" w:sz="0" w:space="0"/>
              </w:rPr>
              <w:t>负责部门</w:t>
            </w:r>
          </w:p>
        </w:tc>
        <w:tc>
          <w:tcPr>
            <w:tcW w:w="1274" w:type="dxa"/>
            <w:tcBorders>
              <w:top w:val="single" w:color="000000" w:sz="6" w:space="0"/>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19"/>
                <w:szCs w:val="19"/>
                <w:bdr w:val="none" w:color="auto" w:sz="0" w:space="0"/>
              </w:rPr>
              <w:t>推广范围</w:t>
            </w:r>
          </w:p>
        </w:tc>
        <w:tc>
          <w:tcPr>
            <w:tcW w:w="1185" w:type="dxa"/>
            <w:tcBorders>
              <w:top w:val="single" w:color="000000" w:sz="6" w:space="0"/>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rStyle w:val="5"/>
                <w:b/>
                <w:color w:val="262626"/>
                <w:sz w:val="19"/>
                <w:szCs w:val="19"/>
                <w:bdr w:val="none" w:color="auto" w:sz="0" w:space="0"/>
              </w:rPr>
              <w:t>时限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负面清单以外领域外商投资企业设立及变更审批改革</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商务部</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restart"/>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color w:val="262626"/>
                <w:sz w:val="19"/>
                <w:szCs w:val="19"/>
                <w:bdr w:val="none" w:color="auto" w:sz="0" w:space="0"/>
              </w:rPr>
              <w:t>2016年11月30日前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2</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依托电子口岸公共平台建设国际贸易单一窗口，推进单一窗口免费申报机制</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3</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国际海关经认证的经营者（AEO）互认制度</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4</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出境加工监管</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5</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企业协调员制度</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6</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引入中介机构开展保税核查、核销和企业稽查</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7</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海关企业进出口信用信息公示制度</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8</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税控发票领用网上申请</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税务总局</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9</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企业简易注销</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工商总局</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10</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原产地签证管理改革创新</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质检总局</w:t>
            </w:r>
            <w:r>
              <w:rPr>
                <w:color w:val="262626"/>
                <w:sz w:val="19"/>
                <w:szCs w:val="19"/>
                <w:bdr w:val="none" w:color="auto" w:sz="0" w:space="0"/>
              </w:rPr>
              <w:br w:type="textWrapping"/>
            </w:r>
            <w:r>
              <w:rPr>
                <w:color w:val="262626"/>
                <w:sz w:val="19"/>
                <w:szCs w:val="19"/>
                <w:bdr w:val="none" w:color="auto" w:sz="0" w:space="0"/>
              </w:rPr>
              <w:t>  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11</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国际航行船舶检疫监管新模式</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质检总局</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12</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免除低风险动植物检疫证书清单制度</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质检总局</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13</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入境维修产品监管新模式</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商务部</w:t>
            </w:r>
            <w:r>
              <w:rPr>
                <w:color w:val="262626"/>
                <w:sz w:val="19"/>
                <w:szCs w:val="19"/>
                <w:bdr w:val="none" w:color="auto" w:sz="0" w:space="0"/>
              </w:rPr>
              <w:br w:type="textWrapping"/>
            </w:r>
            <w:r>
              <w:rPr>
                <w:color w:val="262626"/>
                <w:sz w:val="19"/>
                <w:szCs w:val="19"/>
                <w:bdr w:val="none" w:color="auto" w:sz="0" w:space="0"/>
              </w:rPr>
              <w:t>  海关总署</w:t>
            </w:r>
            <w:r>
              <w:rPr>
                <w:color w:val="262626"/>
                <w:sz w:val="19"/>
                <w:szCs w:val="19"/>
                <w:bdr w:val="none" w:color="auto" w:sz="0" w:space="0"/>
              </w:rPr>
              <w:br w:type="textWrapping"/>
            </w:r>
            <w:r>
              <w:rPr>
                <w:color w:val="262626"/>
                <w:sz w:val="19"/>
                <w:szCs w:val="19"/>
                <w:bdr w:val="none" w:color="auto" w:sz="0" w:space="0"/>
              </w:rPr>
              <w:t>  质检总局</w:t>
            </w:r>
            <w:r>
              <w:rPr>
                <w:color w:val="262626"/>
                <w:sz w:val="19"/>
                <w:szCs w:val="19"/>
                <w:bdr w:val="none" w:color="auto" w:sz="0" w:space="0"/>
              </w:rPr>
              <w:br w:type="textWrapping"/>
            </w:r>
            <w:r>
              <w:rPr>
                <w:color w:val="262626"/>
                <w:sz w:val="19"/>
                <w:szCs w:val="19"/>
                <w:bdr w:val="none" w:color="auto" w:sz="0" w:space="0"/>
              </w:rPr>
              <w:t>  环境保护部</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全国海关特殊监管区域</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14</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一次备案，多次使用</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全国海关特殊监管区域</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15</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委内加工监管</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全国海关特殊监管区域</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16</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仓储货物按状态分类监管</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全国海关特殊监管区域</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17</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大宗商品现货保税交易</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全国海关特殊监管区域</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18</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保税展示交易货物分线监管、预检验和登记核销管理模式</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质检总局</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全国海关特殊监管区域</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810" w:type="dxa"/>
            <w:tcBorders>
              <w:top w:val="nil"/>
              <w:left w:val="single" w:color="000000" w:sz="6" w:space="0"/>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19</w:t>
            </w:r>
          </w:p>
        </w:tc>
        <w:tc>
          <w:tcPr>
            <w:tcW w:w="3688"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r>
              <w:rPr>
                <w:color w:val="262626"/>
                <w:sz w:val="19"/>
                <w:szCs w:val="19"/>
                <w:bdr w:val="none" w:color="auto" w:sz="0" w:space="0"/>
              </w:rPr>
              <w:t>海关特殊监管区域间保税货物流转监管模式</w:t>
            </w:r>
          </w:p>
        </w:tc>
        <w:tc>
          <w:tcPr>
            <w:tcW w:w="1559"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19"/>
                <w:szCs w:val="19"/>
                <w:bdr w:val="none" w:color="auto" w:sz="0" w:space="0"/>
              </w:rPr>
              <w:t>海关总署</w:t>
            </w:r>
          </w:p>
        </w:tc>
        <w:tc>
          <w:tcPr>
            <w:tcW w:w="1274" w:type="dxa"/>
            <w:tcBorders>
              <w:top w:val="nil"/>
              <w:left w:val="nil"/>
              <w:bottom w:val="single" w:color="000000" w:sz="6" w:space="0"/>
              <w:right w:val="single" w:color="000000" w:sz="6" w:space="0"/>
            </w:tcBorders>
            <w:shd w:val="clear"/>
            <w:tcMar>
              <w:left w:w="105"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color w:val="262626"/>
                <w:sz w:val="19"/>
                <w:szCs w:val="19"/>
                <w:bdr w:val="none" w:color="auto" w:sz="0" w:space="0"/>
              </w:rPr>
              <w:t>实行通关一体化的海关特殊监管区域</w:t>
            </w:r>
          </w:p>
        </w:tc>
        <w:tc>
          <w:tcPr>
            <w:tcW w:w="1185" w:type="dxa"/>
            <w:vMerge w:val="continue"/>
            <w:tcBorders>
              <w:top w:val="nil"/>
              <w:left w:val="nil"/>
              <w:bottom w:val="single" w:color="000000" w:sz="6" w:space="0"/>
              <w:right w:val="single" w:color="000000" w:sz="6" w:space="0"/>
            </w:tcBorders>
            <w:shd w:val="clear"/>
            <w:tcMar>
              <w:left w:w="105" w:type="dxa"/>
              <w:right w:w="105" w:type="dxa"/>
            </w:tcMar>
            <w:vAlign w:val="center"/>
          </w:tcPr>
          <w:p>
            <w:pPr>
              <w:rPr>
                <w:rFonts w:hint="eastAsia" w:ascii="宋体"/>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375" w:lineRule="atLeast"/>
        <w:ind w:left="0" w:right="0"/>
        <w:jc w:val="right"/>
        <w:rPr>
          <w:color w:val="262626"/>
        </w:rPr>
      </w:pPr>
      <w:r>
        <w:rPr>
          <w:rFonts w:hint="default" w:ascii="Helvetica" w:hAnsi="Helvetica" w:eastAsia="Helvetica" w:cs="Helvetica"/>
          <w:i w:val="0"/>
          <w:caps w:val="0"/>
          <w:color w:val="333333"/>
          <w:spacing w:val="0"/>
          <w:sz w:val="27"/>
          <w:szCs w:val="27"/>
          <w:bdr w:val="none" w:color="auto" w:sz="0" w:space="0"/>
        </w:rPr>
        <w:t>　　国务院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right"/>
        <w:rPr>
          <w:color w:val="262626"/>
        </w:rPr>
      </w:pPr>
      <w:r>
        <w:rPr>
          <w:rFonts w:hint="default" w:ascii="Helvetica" w:hAnsi="Helvetica" w:eastAsia="Helvetica" w:cs="Helvetica"/>
          <w:i w:val="0"/>
          <w:caps w:val="0"/>
          <w:color w:val="333333"/>
          <w:spacing w:val="0"/>
          <w:sz w:val="21"/>
          <w:szCs w:val="21"/>
          <w:bdr w:val="none" w:color="auto" w:sz="0" w:space="0"/>
        </w:rPr>
        <w:t>　　2016年11月2日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856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2021-08-05T01:11:47Z</dcterms:created>
  <dc:creator>lenovo</dc:creator>
  <cp:lastModifiedBy>426</cp:lastModifiedBy>
  <dcterms:modified xsi:type="dcterms:W3CDTF">2021-08-05T01:12:26Z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