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single" w:color="DCDCDC" w:sz="6" w:space="18"/>
          <w:right w:val="none" w:color="auto" w:sz="0" w:space="0"/>
        </w:pBdr>
        <w:spacing w:before="0" w:beforeAutospacing="0" w:after="0" w:afterAutospacing="0" w:line="825" w:lineRule="atLeast"/>
        <w:ind w:left="0" w:right="0" w:firstLine="0"/>
        <w:jc w:val="center"/>
        <w:rPr>
          <w:rFonts w:ascii="Helvetica" w:hAnsi="Helvetica" w:eastAsia="Helvetica" w:cs="Helvetica"/>
          <w:b/>
          <w:i w:val="0"/>
          <w:caps w:val="0"/>
          <w:color w:val="262626"/>
          <w:spacing w:val="0"/>
          <w:sz w:val="54"/>
          <w:szCs w:val="54"/>
        </w:rPr>
      </w:pPr>
      <w:bookmarkStart w:id="0" w:name="_GoBack"/>
      <w:r>
        <w:rPr>
          <w:rFonts w:hint="default" w:ascii="Helvetica" w:hAnsi="Helvetica" w:eastAsia="Helvetica" w:cs="Helvetica"/>
          <w:b/>
          <w:i w:val="0"/>
          <w:caps w:val="0"/>
          <w:color w:val="262626"/>
          <w:spacing w:val="0"/>
          <w:kern w:val="0"/>
          <w:sz w:val="54"/>
          <w:szCs w:val="54"/>
          <w:bdr w:val="none" w:color="auto" w:sz="0" w:space="0"/>
          <w:lang w:val="en-US" w:eastAsia="zh-CN" w:bidi="ar"/>
        </w:rPr>
        <w:t>国务院关于做好自由贸易试验区第四批改革试点经验复制推广工作的通知</w:t>
      </w:r>
    </w:p>
    <w:bookmarkEnd w:id="0"/>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ascii="楷体" w:hAnsi="楷体" w:eastAsia="楷体" w:cs="楷体"/>
          <w:i w:val="0"/>
          <w:caps w:val="0"/>
          <w:color w:val="262626"/>
          <w:spacing w:val="0"/>
          <w:sz w:val="27"/>
          <w:szCs w:val="27"/>
          <w:bdr w:val="none" w:color="auto" w:sz="0" w:space="0"/>
        </w:rPr>
        <w:t>国发〔2018〕12号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default" w:ascii="Helvetica" w:hAnsi="Helvetica" w:eastAsia="Helvetica" w:cs="Helvetica"/>
          <w:i w:val="0"/>
          <w:caps w:val="0"/>
          <w:color w:val="262626"/>
          <w:spacing w:val="0"/>
          <w:sz w:val="27"/>
          <w:szCs w:val="27"/>
          <w:bdr w:val="none" w:color="auto" w:sz="0" w:space="0"/>
        </w:rPr>
        <w:t>各省、自治区、直辖市人民政府，国务院各部委、各直属机构：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jc w:val="both"/>
        <w:rPr>
          <w:color w:val="262626"/>
        </w:rPr>
      </w:pPr>
      <w:r>
        <w:rPr>
          <w:rFonts w:hint="default" w:ascii="Helvetica" w:hAnsi="Helvetica" w:eastAsia="Helvetica" w:cs="Helvetica"/>
          <w:i w:val="0"/>
          <w:caps w:val="0"/>
          <w:color w:val="262626"/>
          <w:spacing w:val="0"/>
          <w:sz w:val="27"/>
          <w:szCs w:val="27"/>
          <w:bdr w:val="none" w:color="auto" w:sz="0" w:space="0"/>
        </w:rPr>
        <w:t>建设自由贸易试验区（以下简称自贸试验区）是党中央、国务院在新形势下全面深化改革和扩大开放的战略举措。按照党中央、国务院部署，11个自贸试验区所在省市和有关部门结合各自贸试验区功能定位和特色特点，全力推进制度创新实践，形成了自贸试验区第四批改革试点经验，将在全国范围内复制推广。现将有关事项通知如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jc w:val="both"/>
        <w:rPr>
          <w:color w:val="262626"/>
        </w:rPr>
      </w:pPr>
      <w:r>
        <w:rPr>
          <w:rFonts w:hint="default" w:ascii="Helvetica" w:hAnsi="Helvetica" w:eastAsia="Helvetica" w:cs="Helvetica"/>
          <w:b/>
          <w:i w:val="0"/>
          <w:caps w:val="0"/>
          <w:color w:val="262626"/>
          <w:spacing w:val="0"/>
          <w:sz w:val="27"/>
          <w:szCs w:val="27"/>
          <w:bdr w:val="none" w:color="auto" w:sz="0" w:space="0"/>
        </w:rPr>
        <w:t>一、复制推广的主要内容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jc w:val="both"/>
        <w:rPr>
          <w:color w:val="262626"/>
        </w:rPr>
      </w:pPr>
      <w:r>
        <w:rPr>
          <w:rFonts w:hint="eastAsia" w:ascii="楷体" w:hAnsi="楷体" w:eastAsia="楷体" w:cs="楷体"/>
          <w:i w:val="0"/>
          <w:caps w:val="0"/>
          <w:color w:val="262626"/>
          <w:spacing w:val="0"/>
          <w:sz w:val="27"/>
          <w:szCs w:val="27"/>
          <w:bdr w:val="none" w:color="auto" w:sz="0" w:space="0"/>
        </w:rPr>
        <w:t>（一）在全国范围内复制推广的改革事项。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jc w:val="both"/>
        <w:rPr>
          <w:color w:val="262626"/>
        </w:rPr>
      </w:pPr>
      <w:r>
        <w:rPr>
          <w:rFonts w:hint="default" w:ascii="Helvetica" w:hAnsi="Helvetica" w:eastAsia="Helvetica" w:cs="Helvetica"/>
          <w:i w:val="0"/>
          <w:caps w:val="0"/>
          <w:color w:val="262626"/>
          <w:spacing w:val="0"/>
          <w:sz w:val="27"/>
          <w:szCs w:val="27"/>
          <w:bdr w:val="none" w:color="auto" w:sz="0" w:space="0"/>
        </w:rPr>
        <w:t>1.服务业开放领域：“扩大内地与港澳合伙型联营律师事务所设立范围”、“国际船舶运输领域扩大开放”、“国际船舶管理领域扩大开放”、“国际船舶代理领域扩大开放”、“国际海运货物装卸、国际海运集装箱场站和堆场业务扩大开放”等5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jc w:val="both"/>
        <w:rPr>
          <w:color w:val="262626"/>
        </w:rPr>
      </w:pPr>
      <w:r>
        <w:rPr>
          <w:rFonts w:hint="default" w:ascii="Helvetica" w:hAnsi="Helvetica" w:eastAsia="Helvetica" w:cs="Helvetica"/>
          <w:i w:val="0"/>
          <w:caps w:val="0"/>
          <w:color w:val="262626"/>
          <w:spacing w:val="0"/>
          <w:sz w:val="27"/>
          <w:szCs w:val="27"/>
          <w:bdr w:val="none" w:color="auto" w:sz="0" w:space="0"/>
        </w:rPr>
        <w:t>2.投资管理领域：“船舶证书‘三合一’并联办理”、“国际船舶登记制度创新”、“对外贸易经营者备案和原产地企业备案‘两证合一’”、“低风险生物医药特殊物品行政许可审批改革”、“一般纳税人登记网上办理”、“工业产品生产许可证‘一企一证’改革”等6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jc w:val="both"/>
        <w:rPr>
          <w:color w:val="262626"/>
        </w:rPr>
      </w:pPr>
      <w:r>
        <w:rPr>
          <w:rFonts w:hint="default" w:ascii="Helvetica" w:hAnsi="Helvetica" w:eastAsia="Helvetica" w:cs="Helvetica"/>
          <w:i w:val="0"/>
          <w:caps w:val="0"/>
          <w:color w:val="262626"/>
          <w:spacing w:val="0"/>
          <w:sz w:val="27"/>
          <w:szCs w:val="27"/>
          <w:bdr w:val="none" w:color="auto" w:sz="0" w:space="0"/>
        </w:rPr>
        <w:t>3.贸易便利化领域：“跨部门一次性联合检查”、“保税燃料油供应服务船舶准入管理新模式”、“先放行、后改单作业模式”、“铁路运输方式舱单归并新模式”、“海运进境集装箱空箱检验检疫便利化措施”、“入境大宗工业品联动检验检疫新模式”、“国际航行船舶供水‘开放式申报+验证式监管’”、“进境保税金属矿产品检验监管制度”、“外锚地保税燃料油受油船舶‘申报无疫放行’制度”等9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jc w:val="both"/>
        <w:rPr>
          <w:color w:val="262626"/>
        </w:rPr>
      </w:pPr>
      <w:r>
        <w:rPr>
          <w:rFonts w:hint="default" w:ascii="Helvetica" w:hAnsi="Helvetica" w:eastAsia="Helvetica" w:cs="Helvetica"/>
          <w:i w:val="0"/>
          <w:caps w:val="0"/>
          <w:color w:val="262626"/>
          <w:spacing w:val="0"/>
          <w:sz w:val="27"/>
          <w:szCs w:val="27"/>
          <w:bdr w:val="none" w:color="auto" w:sz="0" w:space="0"/>
        </w:rPr>
        <w:t>4.事中事后监管措施：“企业送达信息共享机制”、“边检服务掌上直通车”、“简化外锚地保税燃料油加注船舶入出境手续”、“国内航行内河船舶进出港管理新模式”、“外锚地保税燃料油受油船舶便利化海事监管模式”、“保税燃料油供油企业信用监管新模式”、“海关企业注册及电子口岸入网全程无纸化”等7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jc w:val="both"/>
        <w:rPr>
          <w:color w:val="262626"/>
        </w:rPr>
      </w:pPr>
      <w:r>
        <w:rPr>
          <w:rFonts w:hint="eastAsia" w:ascii="楷体" w:hAnsi="楷体" w:eastAsia="楷体" w:cs="楷体"/>
          <w:i w:val="0"/>
          <w:caps w:val="0"/>
          <w:color w:val="262626"/>
          <w:spacing w:val="0"/>
          <w:sz w:val="27"/>
          <w:szCs w:val="27"/>
          <w:bdr w:val="none" w:color="auto" w:sz="0" w:space="0"/>
        </w:rPr>
        <w:t>（二）在特定区域复制推广的改革事项。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jc w:val="both"/>
        <w:rPr>
          <w:color w:val="262626"/>
        </w:rPr>
      </w:pPr>
      <w:r>
        <w:rPr>
          <w:rFonts w:hint="default" w:ascii="Helvetica" w:hAnsi="Helvetica" w:eastAsia="Helvetica" w:cs="Helvetica"/>
          <w:i w:val="0"/>
          <w:caps w:val="0"/>
          <w:color w:val="262626"/>
          <w:spacing w:val="0"/>
          <w:sz w:val="27"/>
          <w:szCs w:val="27"/>
          <w:bdr w:val="none" w:color="auto" w:sz="0" w:space="0"/>
        </w:rPr>
        <w:t>1.在海关特殊监管区域复制推广：“海关特殊监管区域‘四自一简’监管创新”、“‘保税混矿’监管创新”等2项。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jc w:val="both"/>
        <w:rPr>
          <w:color w:val="262626"/>
        </w:rPr>
      </w:pPr>
      <w:r>
        <w:rPr>
          <w:rFonts w:hint="default" w:ascii="Helvetica" w:hAnsi="Helvetica" w:eastAsia="Helvetica" w:cs="Helvetica"/>
          <w:i w:val="0"/>
          <w:caps w:val="0"/>
          <w:color w:val="262626"/>
          <w:spacing w:val="0"/>
          <w:sz w:val="27"/>
          <w:szCs w:val="27"/>
          <w:bdr w:val="none" w:color="auto" w:sz="0" w:space="0"/>
        </w:rPr>
        <w:t>2.在海关特殊监管区域及保税物流中心（B型）复制推广：“先出区、后报关”。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jc w:val="both"/>
        <w:rPr>
          <w:color w:val="262626"/>
        </w:rPr>
      </w:pPr>
      <w:r>
        <w:rPr>
          <w:rFonts w:hint="default" w:ascii="Helvetica" w:hAnsi="Helvetica" w:eastAsia="Helvetica" w:cs="Helvetica"/>
          <w:b/>
          <w:i w:val="0"/>
          <w:caps w:val="0"/>
          <w:color w:val="262626"/>
          <w:spacing w:val="0"/>
          <w:sz w:val="27"/>
          <w:szCs w:val="27"/>
          <w:bdr w:val="none" w:color="auto" w:sz="0" w:space="0"/>
        </w:rPr>
        <w:t>二、高度重视复制推广工作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jc w:val="both"/>
        <w:rPr>
          <w:color w:val="262626"/>
        </w:rPr>
      </w:pPr>
      <w:r>
        <w:rPr>
          <w:rFonts w:hint="default" w:ascii="Helvetica" w:hAnsi="Helvetica" w:eastAsia="Helvetica" w:cs="Helvetica"/>
          <w:i w:val="0"/>
          <w:caps w:val="0"/>
          <w:color w:val="262626"/>
          <w:spacing w:val="0"/>
          <w:sz w:val="27"/>
          <w:szCs w:val="27"/>
          <w:bdr w:val="none" w:color="auto" w:sz="0" w:space="0"/>
        </w:rPr>
        <w:t>各地区、各部门要以习近平新时代中国特色社会主义思想为指导，全面贯彻党的十九大精神，深刻认识复制推广自贸试验区改革试点经验的重大意义，将复制推广工作作为贯彻新发展理念、推动高质量发展、建设现代化经济体系的重要举措，更大力度转变政府职能，全面提升治理能力现代化水平，着力推动制度创新，进一步优化营商环境，激发市场活力，逐步构建与我国开放型经济发展要求相适应的新体制、新模式，推动形成全面开放新格局，不断增强经济创新力和竞争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jc w:val="both"/>
        <w:rPr>
          <w:color w:val="262626"/>
        </w:rPr>
      </w:pPr>
      <w:r>
        <w:rPr>
          <w:rFonts w:hint="default" w:ascii="Helvetica" w:hAnsi="Helvetica" w:eastAsia="Helvetica" w:cs="Helvetica"/>
          <w:b/>
          <w:i w:val="0"/>
          <w:caps w:val="0"/>
          <w:color w:val="262626"/>
          <w:spacing w:val="0"/>
          <w:sz w:val="27"/>
          <w:szCs w:val="27"/>
          <w:bdr w:val="none" w:color="auto" w:sz="0" w:space="0"/>
        </w:rPr>
        <w:t>三、切实做好组织实施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jc w:val="both"/>
        <w:rPr>
          <w:color w:val="262626"/>
        </w:rPr>
      </w:pPr>
      <w:r>
        <w:rPr>
          <w:rFonts w:hint="default" w:ascii="Helvetica" w:hAnsi="Helvetica" w:eastAsia="Helvetica" w:cs="Helvetica"/>
          <w:i w:val="0"/>
          <w:caps w:val="0"/>
          <w:color w:val="262626"/>
          <w:spacing w:val="0"/>
          <w:sz w:val="27"/>
          <w:szCs w:val="27"/>
          <w:bdr w:val="none" w:color="auto" w:sz="0" w:space="0"/>
        </w:rPr>
        <w:t>各省（自治区、直辖市）人民政府要将自贸试验区改革试点经验复制推广工作列为本地区重点工作，加强组织领导，加大实施力度，强化督促检查，确保复制推广工作顺利推进，改革试点经验落地生根、取得实效。国务院各有关部门要主动作为，做好细化分解，完成复制推广工作。需报国务院批准的事项要按程序报批，需调整有关行政法规、国务院文件和部门规章规定的，要按法定程序办理。国务院自由贸易试验区工作部际联席会议办公室要适时督查复制推广工作进展和成效，协调解决复制推广工作中的重点和难点问题。复制推广工作中遇到的重大问题，要及时报告国务院。</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jc w:val="both"/>
        <w:rPr>
          <w:color w:val="262626"/>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jc w:val="both"/>
        <w:rPr>
          <w:color w:val="262626"/>
        </w:rPr>
      </w:pPr>
      <w:r>
        <w:rPr>
          <w:rFonts w:hint="default" w:ascii="Helvetica" w:hAnsi="Helvetica" w:eastAsia="Helvetica" w:cs="Helvetica"/>
          <w:i w:val="0"/>
          <w:caps w:val="0"/>
          <w:color w:val="262626"/>
          <w:spacing w:val="0"/>
          <w:sz w:val="27"/>
          <w:szCs w:val="27"/>
          <w:bdr w:val="none" w:color="auto" w:sz="0" w:space="0"/>
        </w:rPr>
        <w:t>附件：自由贸易试验区第四批改革试点经验复制推广工作任务分工表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right"/>
        <w:rPr>
          <w:color w:val="262626"/>
        </w:rPr>
      </w:pPr>
      <w:r>
        <w:rPr>
          <w:rFonts w:hint="default" w:ascii="Helvetica" w:hAnsi="Helvetica" w:eastAsia="Helvetica" w:cs="Helvetica"/>
          <w:i w:val="0"/>
          <w:caps w:val="0"/>
          <w:color w:val="262626"/>
          <w:spacing w:val="0"/>
          <w:sz w:val="27"/>
          <w:szCs w:val="27"/>
          <w:bdr w:val="none" w:color="auto" w:sz="0" w:space="0"/>
        </w:rPr>
        <w:t>国务院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right"/>
        <w:rPr>
          <w:color w:val="262626"/>
        </w:rPr>
      </w:pPr>
      <w:r>
        <w:rPr>
          <w:rFonts w:hint="default" w:ascii="Helvetica" w:hAnsi="Helvetica" w:eastAsia="Helvetica" w:cs="Helvetica"/>
          <w:i w:val="0"/>
          <w:caps w:val="0"/>
          <w:color w:val="262626"/>
          <w:spacing w:val="0"/>
          <w:sz w:val="27"/>
          <w:szCs w:val="27"/>
          <w:bdr w:val="none" w:color="auto" w:sz="0" w:space="0"/>
        </w:rPr>
        <w:t>2018年5月3日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jc w:val="both"/>
        <w:rPr>
          <w:color w:val="262626"/>
        </w:rPr>
      </w:pPr>
      <w:r>
        <w:rPr>
          <w:rFonts w:hint="default" w:ascii="Helvetica" w:hAnsi="Helvetica" w:eastAsia="Helvetica" w:cs="Helvetica"/>
          <w:i w:val="0"/>
          <w:caps w:val="0"/>
          <w:color w:val="262626"/>
          <w:spacing w:val="0"/>
          <w:sz w:val="27"/>
          <w:szCs w:val="27"/>
          <w:bdr w:val="none" w:color="auto" w:sz="0" w:space="0"/>
        </w:rPr>
        <w:t>（此件公开发布）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jc w:val="both"/>
        <w:rPr>
          <w:color w:val="262626"/>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jc w:val="both"/>
        <w:rPr>
          <w:color w:val="262626"/>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default" w:ascii="Helvetica" w:hAnsi="Helvetica" w:eastAsia="Helvetica" w:cs="Helvetica"/>
          <w:b/>
          <w:i w:val="0"/>
          <w:caps w:val="0"/>
          <w:color w:val="262626"/>
          <w:spacing w:val="0"/>
          <w:sz w:val="27"/>
          <w:szCs w:val="27"/>
          <w:bdr w:val="none" w:color="auto" w:sz="0" w:space="0"/>
        </w:rPr>
        <w:t>附件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jc w:val="both"/>
        <w:rPr>
          <w:color w:val="262626"/>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default" w:ascii="Helvetica" w:hAnsi="Helvetica" w:eastAsia="Helvetica" w:cs="Helvetica"/>
          <w:i w:val="0"/>
          <w:caps w:val="0"/>
          <w:color w:val="262626"/>
          <w:spacing w:val="0"/>
          <w:sz w:val="36"/>
          <w:szCs w:val="36"/>
          <w:bdr w:val="none" w:color="auto" w:sz="0" w:space="0"/>
        </w:rPr>
        <w:t>自由贸易试验区第四批改革试点经验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line="630" w:lineRule="atLeast"/>
        <w:ind w:left="0" w:right="0"/>
        <w:jc w:val="center"/>
        <w:rPr>
          <w:color w:val="262626"/>
        </w:rPr>
      </w:pPr>
      <w:r>
        <w:rPr>
          <w:rFonts w:hint="default" w:ascii="Helvetica" w:hAnsi="Helvetica" w:eastAsia="Helvetica" w:cs="Helvetica"/>
          <w:i w:val="0"/>
          <w:caps w:val="0"/>
          <w:color w:val="262626"/>
          <w:spacing w:val="0"/>
          <w:sz w:val="36"/>
          <w:szCs w:val="36"/>
          <w:bdr w:val="none" w:color="auto" w:sz="0" w:space="0"/>
        </w:rPr>
        <w:t>复制推广工作任务分工表</w:t>
      </w:r>
    </w:p>
    <w:tbl>
      <w:tblPr>
        <w:tblW w:w="9075" w:type="dxa"/>
        <w:jc w:val="center"/>
        <w:tblInd w:w="-279"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
      <w:tblGrid>
        <w:gridCol w:w="840"/>
        <w:gridCol w:w="5130"/>
        <w:gridCol w:w="1545"/>
        <w:gridCol w:w="156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jc w:val="center"/>
        </w:trPr>
        <w:tc>
          <w:tcPr>
            <w:tcW w:w="840"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Style w:val="5"/>
                <w:rFonts w:hint="eastAsia" w:ascii="宋体" w:hAnsi="宋体" w:eastAsia="宋体" w:cs="宋体"/>
                <w:b/>
                <w:color w:val="262626"/>
                <w:sz w:val="19"/>
                <w:szCs w:val="19"/>
                <w:bdr w:val="none" w:color="auto" w:sz="0" w:space="0"/>
              </w:rPr>
              <w:t>序号</w:t>
            </w:r>
          </w:p>
        </w:tc>
        <w:tc>
          <w:tcPr>
            <w:tcW w:w="5130" w:type="dxa"/>
            <w:tcBorders>
              <w:top w:val="single" w:color="auto" w:sz="6" w:space="0"/>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Style w:val="5"/>
                <w:rFonts w:hint="eastAsia" w:ascii="宋体" w:hAnsi="宋体" w:eastAsia="宋体" w:cs="宋体"/>
                <w:b/>
                <w:color w:val="262626"/>
                <w:sz w:val="19"/>
                <w:szCs w:val="19"/>
                <w:bdr w:val="none" w:color="auto" w:sz="0" w:space="0"/>
              </w:rPr>
              <w:t>改革事项</w:t>
            </w:r>
          </w:p>
        </w:tc>
        <w:tc>
          <w:tcPr>
            <w:tcW w:w="1545" w:type="dxa"/>
            <w:tcBorders>
              <w:top w:val="single" w:color="auto" w:sz="6" w:space="0"/>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Style w:val="5"/>
                <w:rFonts w:hint="eastAsia" w:ascii="宋体" w:hAnsi="宋体" w:eastAsia="宋体" w:cs="宋体"/>
                <w:b/>
                <w:color w:val="262626"/>
                <w:sz w:val="19"/>
                <w:szCs w:val="19"/>
                <w:bdr w:val="none" w:color="auto" w:sz="0" w:space="0"/>
              </w:rPr>
              <w:t>负责单位</w:t>
            </w:r>
          </w:p>
        </w:tc>
        <w:tc>
          <w:tcPr>
            <w:tcW w:w="1560" w:type="dxa"/>
            <w:tcBorders>
              <w:top w:val="single" w:color="auto" w:sz="6" w:space="0"/>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Style w:val="5"/>
                <w:rFonts w:hint="eastAsia" w:ascii="宋体" w:hAnsi="宋体" w:eastAsia="宋体" w:cs="宋体"/>
                <w:b/>
                <w:color w:val="262626"/>
                <w:sz w:val="19"/>
                <w:szCs w:val="19"/>
                <w:bdr w:val="none" w:color="auto" w:sz="0" w:space="0"/>
              </w:rPr>
              <w:t>推广范围</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40" w:type="dxa"/>
            <w:tcBorders>
              <w:top w:val="nil"/>
              <w:left w:val="single" w:color="auto" w:sz="6" w:space="0"/>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1</w:t>
            </w:r>
          </w:p>
        </w:tc>
        <w:tc>
          <w:tcPr>
            <w:tcW w:w="513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企业送达信息共享机制</w:t>
            </w:r>
          </w:p>
        </w:tc>
        <w:tc>
          <w:tcPr>
            <w:tcW w:w="154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color w:val="262626"/>
                <w:sz w:val="19"/>
                <w:szCs w:val="19"/>
                <w:bdr w:val="none" w:color="auto" w:sz="0" w:space="0"/>
              </w:rPr>
              <w:t>最高人民法院、国家市场监督管理总局</w:t>
            </w:r>
          </w:p>
        </w:tc>
        <w:tc>
          <w:tcPr>
            <w:tcW w:w="156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ascii="Calibri" w:hAnsi="Calibri" w:eastAsia="Calibri" w:cs="Calibri"/>
                <w:color w:val="262626"/>
                <w:sz w:val="19"/>
                <w:szCs w:val="19"/>
                <w:bdr w:val="none" w:color="auto" w:sz="0" w:space="0"/>
              </w:rPr>
              <w:t> 全国</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40" w:type="dxa"/>
            <w:tcBorders>
              <w:top w:val="nil"/>
              <w:left w:val="single" w:color="auto" w:sz="6" w:space="0"/>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2</w:t>
            </w:r>
          </w:p>
        </w:tc>
        <w:tc>
          <w:tcPr>
            <w:tcW w:w="513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边检服务掌上直通车</w:t>
            </w:r>
          </w:p>
        </w:tc>
        <w:tc>
          <w:tcPr>
            <w:tcW w:w="154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公安部</w:t>
            </w:r>
          </w:p>
        </w:tc>
        <w:tc>
          <w:tcPr>
            <w:tcW w:w="156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全国</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40" w:type="dxa"/>
            <w:tcBorders>
              <w:top w:val="nil"/>
              <w:left w:val="single" w:color="auto" w:sz="6" w:space="0"/>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3</w:t>
            </w:r>
          </w:p>
        </w:tc>
        <w:tc>
          <w:tcPr>
            <w:tcW w:w="513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简化外锚地保税燃料油加注船舶入出境手续</w:t>
            </w:r>
          </w:p>
        </w:tc>
        <w:tc>
          <w:tcPr>
            <w:tcW w:w="154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公安部</w:t>
            </w:r>
          </w:p>
        </w:tc>
        <w:tc>
          <w:tcPr>
            <w:tcW w:w="156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全国</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40" w:type="dxa"/>
            <w:tcBorders>
              <w:top w:val="nil"/>
              <w:left w:val="single" w:color="auto" w:sz="6" w:space="0"/>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4</w:t>
            </w:r>
          </w:p>
        </w:tc>
        <w:tc>
          <w:tcPr>
            <w:tcW w:w="513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扩大内地与港澳合伙型联营律师事务所设立范围</w:t>
            </w:r>
          </w:p>
        </w:tc>
        <w:tc>
          <w:tcPr>
            <w:tcW w:w="154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司法部</w:t>
            </w:r>
          </w:p>
        </w:tc>
        <w:tc>
          <w:tcPr>
            <w:tcW w:w="156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全国</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40" w:type="dxa"/>
            <w:tcBorders>
              <w:top w:val="nil"/>
              <w:left w:val="single" w:color="auto" w:sz="6" w:space="0"/>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5</w:t>
            </w:r>
          </w:p>
        </w:tc>
        <w:tc>
          <w:tcPr>
            <w:tcW w:w="513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船舶证书“三合一”并联办理</w:t>
            </w:r>
          </w:p>
        </w:tc>
        <w:tc>
          <w:tcPr>
            <w:tcW w:w="154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交通运输部</w:t>
            </w:r>
          </w:p>
        </w:tc>
        <w:tc>
          <w:tcPr>
            <w:tcW w:w="156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全国</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40" w:type="dxa"/>
            <w:tcBorders>
              <w:top w:val="nil"/>
              <w:left w:val="single" w:color="auto" w:sz="6" w:space="0"/>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6</w:t>
            </w:r>
          </w:p>
        </w:tc>
        <w:tc>
          <w:tcPr>
            <w:tcW w:w="513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国内航行内河船舶进出港管理新模式</w:t>
            </w:r>
          </w:p>
        </w:tc>
        <w:tc>
          <w:tcPr>
            <w:tcW w:w="154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交通运输部</w:t>
            </w:r>
          </w:p>
        </w:tc>
        <w:tc>
          <w:tcPr>
            <w:tcW w:w="156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全国</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40" w:type="dxa"/>
            <w:tcBorders>
              <w:top w:val="nil"/>
              <w:left w:val="single" w:color="auto" w:sz="6" w:space="0"/>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7</w:t>
            </w:r>
          </w:p>
        </w:tc>
        <w:tc>
          <w:tcPr>
            <w:tcW w:w="513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外锚地保税燃料油受油船舶便利化海事监管模式</w:t>
            </w:r>
          </w:p>
        </w:tc>
        <w:tc>
          <w:tcPr>
            <w:tcW w:w="154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交通运输部</w:t>
            </w:r>
          </w:p>
        </w:tc>
        <w:tc>
          <w:tcPr>
            <w:tcW w:w="156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全国</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40" w:type="dxa"/>
            <w:tcBorders>
              <w:top w:val="nil"/>
              <w:left w:val="single" w:color="auto" w:sz="6" w:space="0"/>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8</w:t>
            </w:r>
          </w:p>
        </w:tc>
        <w:tc>
          <w:tcPr>
            <w:tcW w:w="513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保税燃料油供油企业信用监管新模式</w:t>
            </w:r>
          </w:p>
        </w:tc>
        <w:tc>
          <w:tcPr>
            <w:tcW w:w="154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交通运输部</w:t>
            </w:r>
          </w:p>
        </w:tc>
        <w:tc>
          <w:tcPr>
            <w:tcW w:w="156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全国</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40" w:type="dxa"/>
            <w:tcBorders>
              <w:top w:val="nil"/>
              <w:left w:val="single" w:color="auto" w:sz="6" w:space="0"/>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9</w:t>
            </w:r>
          </w:p>
        </w:tc>
        <w:tc>
          <w:tcPr>
            <w:tcW w:w="513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保税燃料油供应服务船舶准入管理新模式</w:t>
            </w:r>
          </w:p>
        </w:tc>
        <w:tc>
          <w:tcPr>
            <w:tcW w:w="154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交通运输部</w:t>
            </w:r>
          </w:p>
        </w:tc>
        <w:tc>
          <w:tcPr>
            <w:tcW w:w="156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全国</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40" w:type="dxa"/>
            <w:tcBorders>
              <w:top w:val="nil"/>
              <w:left w:val="single" w:color="auto" w:sz="6" w:space="0"/>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10</w:t>
            </w:r>
          </w:p>
        </w:tc>
        <w:tc>
          <w:tcPr>
            <w:tcW w:w="513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国际船舶运输领域扩大开放</w:t>
            </w:r>
          </w:p>
        </w:tc>
        <w:tc>
          <w:tcPr>
            <w:tcW w:w="154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交通运输部</w:t>
            </w:r>
          </w:p>
        </w:tc>
        <w:tc>
          <w:tcPr>
            <w:tcW w:w="156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全国</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40" w:type="dxa"/>
            <w:tcBorders>
              <w:top w:val="nil"/>
              <w:left w:val="single" w:color="auto" w:sz="6" w:space="0"/>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11</w:t>
            </w:r>
          </w:p>
        </w:tc>
        <w:tc>
          <w:tcPr>
            <w:tcW w:w="513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国际船舶管理领域扩大开放</w:t>
            </w:r>
          </w:p>
        </w:tc>
        <w:tc>
          <w:tcPr>
            <w:tcW w:w="154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交通运输部</w:t>
            </w:r>
          </w:p>
        </w:tc>
        <w:tc>
          <w:tcPr>
            <w:tcW w:w="156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全国</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40" w:type="dxa"/>
            <w:tcBorders>
              <w:top w:val="nil"/>
              <w:left w:val="single" w:color="auto" w:sz="6" w:space="0"/>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12</w:t>
            </w:r>
          </w:p>
        </w:tc>
        <w:tc>
          <w:tcPr>
            <w:tcW w:w="513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国际船舶代理领域扩大开放</w:t>
            </w:r>
          </w:p>
        </w:tc>
        <w:tc>
          <w:tcPr>
            <w:tcW w:w="154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交通运输部</w:t>
            </w:r>
          </w:p>
        </w:tc>
        <w:tc>
          <w:tcPr>
            <w:tcW w:w="156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全国</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40" w:type="dxa"/>
            <w:tcBorders>
              <w:top w:val="nil"/>
              <w:left w:val="single" w:color="auto" w:sz="6" w:space="0"/>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13</w:t>
            </w:r>
          </w:p>
        </w:tc>
        <w:tc>
          <w:tcPr>
            <w:tcW w:w="513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国际海运货物装卸、国际海运集装箱场站和堆场业务扩大开放</w:t>
            </w:r>
          </w:p>
        </w:tc>
        <w:tc>
          <w:tcPr>
            <w:tcW w:w="154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交通运输部</w:t>
            </w:r>
          </w:p>
        </w:tc>
        <w:tc>
          <w:tcPr>
            <w:tcW w:w="156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全国</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40" w:type="dxa"/>
            <w:tcBorders>
              <w:top w:val="nil"/>
              <w:left w:val="single" w:color="auto" w:sz="6" w:space="0"/>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14</w:t>
            </w:r>
          </w:p>
        </w:tc>
        <w:tc>
          <w:tcPr>
            <w:tcW w:w="513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国际船舶登记制度创新</w:t>
            </w:r>
          </w:p>
        </w:tc>
        <w:tc>
          <w:tcPr>
            <w:tcW w:w="154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交通运输部</w:t>
            </w:r>
          </w:p>
        </w:tc>
        <w:tc>
          <w:tcPr>
            <w:tcW w:w="156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全国</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40" w:type="dxa"/>
            <w:tcBorders>
              <w:top w:val="nil"/>
              <w:left w:val="single" w:color="auto" w:sz="6" w:space="0"/>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15</w:t>
            </w:r>
          </w:p>
        </w:tc>
        <w:tc>
          <w:tcPr>
            <w:tcW w:w="513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对外贸易经营者备案和原产地企业备案“两证合一”</w:t>
            </w:r>
          </w:p>
        </w:tc>
        <w:tc>
          <w:tcPr>
            <w:tcW w:w="154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商务部、海关总署、中国贸促会</w:t>
            </w:r>
          </w:p>
        </w:tc>
        <w:tc>
          <w:tcPr>
            <w:tcW w:w="156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全国</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40" w:type="dxa"/>
            <w:tcBorders>
              <w:top w:val="nil"/>
              <w:left w:val="single" w:color="auto" w:sz="6" w:space="0"/>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16</w:t>
            </w:r>
          </w:p>
        </w:tc>
        <w:tc>
          <w:tcPr>
            <w:tcW w:w="513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跨部门一次性联合检查</w:t>
            </w:r>
          </w:p>
        </w:tc>
        <w:tc>
          <w:tcPr>
            <w:tcW w:w="154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海关总署</w:t>
            </w:r>
          </w:p>
        </w:tc>
        <w:tc>
          <w:tcPr>
            <w:tcW w:w="156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全国</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40" w:type="dxa"/>
            <w:tcBorders>
              <w:top w:val="nil"/>
              <w:left w:val="single" w:color="auto" w:sz="6" w:space="0"/>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17</w:t>
            </w:r>
          </w:p>
        </w:tc>
        <w:tc>
          <w:tcPr>
            <w:tcW w:w="513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海关企业注册及电子口岸入网全程无纸化</w:t>
            </w:r>
          </w:p>
        </w:tc>
        <w:tc>
          <w:tcPr>
            <w:tcW w:w="154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海关总署</w:t>
            </w:r>
          </w:p>
        </w:tc>
        <w:tc>
          <w:tcPr>
            <w:tcW w:w="156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全国</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40" w:type="dxa"/>
            <w:tcBorders>
              <w:top w:val="nil"/>
              <w:left w:val="single" w:color="auto" w:sz="6" w:space="0"/>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18</w:t>
            </w:r>
          </w:p>
        </w:tc>
        <w:tc>
          <w:tcPr>
            <w:tcW w:w="513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先放行、后改单作业模式</w:t>
            </w:r>
          </w:p>
        </w:tc>
        <w:tc>
          <w:tcPr>
            <w:tcW w:w="154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海关总署</w:t>
            </w:r>
          </w:p>
        </w:tc>
        <w:tc>
          <w:tcPr>
            <w:tcW w:w="156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全国</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40" w:type="dxa"/>
            <w:tcBorders>
              <w:top w:val="nil"/>
              <w:left w:val="single" w:color="auto" w:sz="6" w:space="0"/>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19</w:t>
            </w:r>
          </w:p>
        </w:tc>
        <w:tc>
          <w:tcPr>
            <w:tcW w:w="513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铁路运输方式舱单归并新模式</w:t>
            </w:r>
          </w:p>
        </w:tc>
        <w:tc>
          <w:tcPr>
            <w:tcW w:w="154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海关总署</w:t>
            </w:r>
          </w:p>
        </w:tc>
        <w:tc>
          <w:tcPr>
            <w:tcW w:w="156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全国</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40" w:type="dxa"/>
            <w:tcBorders>
              <w:top w:val="nil"/>
              <w:left w:val="single" w:color="auto" w:sz="6" w:space="0"/>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20</w:t>
            </w:r>
          </w:p>
        </w:tc>
        <w:tc>
          <w:tcPr>
            <w:tcW w:w="513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低风险生物医药特殊物品行政许可审批改革</w:t>
            </w:r>
          </w:p>
        </w:tc>
        <w:tc>
          <w:tcPr>
            <w:tcW w:w="154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海关总署</w:t>
            </w:r>
          </w:p>
        </w:tc>
        <w:tc>
          <w:tcPr>
            <w:tcW w:w="156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全国</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40" w:type="dxa"/>
            <w:tcBorders>
              <w:top w:val="nil"/>
              <w:left w:val="single" w:color="auto" w:sz="6" w:space="0"/>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21</w:t>
            </w:r>
          </w:p>
        </w:tc>
        <w:tc>
          <w:tcPr>
            <w:tcW w:w="513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海运进境集装箱空箱检验检疫便利化措施</w:t>
            </w:r>
          </w:p>
        </w:tc>
        <w:tc>
          <w:tcPr>
            <w:tcW w:w="154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海关总署</w:t>
            </w:r>
          </w:p>
        </w:tc>
        <w:tc>
          <w:tcPr>
            <w:tcW w:w="156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全国</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40" w:type="dxa"/>
            <w:tcBorders>
              <w:top w:val="nil"/>
              <w:left w:val="single" w:color="auto" w:sz="6" w:space="0"/>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22</w:t>
            </w:r>
          </w:p>
        </w:tc>
        <w:tc>
          <w:tcPr>
            <w:tcW w:w="513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入境大宗工业品联动检验检疫新模式</w:t>
            </w:r>
          </w:p>
        </w:tc>
        <w:tc>
          <w:tcPr>
            <w:tcW w:w="154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海关总署</w:t>
            </w:r>
          </w:p>
        </w:tc>
        <w:tc>
          <w:tcPr>
            <w:tcW w:w="156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全国</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40" w:type="dxa"/>
            <w:tcBorders>
              <w:top w:val="nil"/>
              <w:left w:val="single" w:color="auto" w:sz="6" w:space="0"/>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23</w:t>
            </w:r>
          </w:p>
        </w:tc>
        <w:tc>
          <w:tcPr>
            <w:tcW w:w="513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国际航行船舶供水“开放式申报</w:t>
            </w:r>
            <w:r>
              <w:rPr>
                <w:rFonts w:ascii="Calibri" w:hAnsi="Calibri" w:eastAsia="宋体" w:cs="Calibri"/>
                <w:color w:val="262626"/>
                <w:sz w:val="19"/>
                <w:szCs w:val="19"/>
                <w:bdr w:val="none" w:color="auto" w:sz="0" w:space="0"/>
              </w:rPr>
              <w:t>+</w:t>
            </w:r>
            <w:r>
              <w:rPr>
                <w:rFonts w:hint="eastAsia" w:ascii="宋体" w:hAnsi="宋体" w:eastAsia="宋体" w:cs="宋体"/>
                <w:color w:val="262626"/>
                <w:sz w:val="19"/>
                <w:szCs w:val="19"/>
                <w:bdr w:val="none" w:color="auto" w:sz="0" w:space="0"/>
              </w:rPr>
              <w:t>验证式监管”</w:t>
            </w:r>
          </w:p>
        </w:tc>
        <w:tc>
          <w:tcPr>
            <w:tcW w:w="154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海关总署</w:t>
            </w:r>
          </w:p>
        </w:tc>
        <w:tc>
          <w:tcPr>
            <w:tcW w:w="156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全国</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40" w:type="dxa"/>
            <w:tcBorders>
              <w:top w:val="nil"/>
              <w:left w:val="single" w:color="auto" w:sz="6" w:space="0"/>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24</w:t>
            </w:r>
          </w:p>
        </w:tc>
        <w:tc>
          <w:tcPr>
            <w:tcW w:w="513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进境保税金属矿产品检验监管制度</w:t>
            </w:r>
          </w:p>
        </w:tc>
        <w:tc>
          <w:tcPr>
            <w:tcW w:w="154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海关总署</w:t>
            </w:r>
          </w:p>
        </w:tc>
        <w:tc>
          <w:tcPr>
            <w:tcW w:w="156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全国</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40" w:type="dxa"/>
            <w:tcBorders>
              <w:top w:val="nil"/>
              <w:left w:val="single" w:color="auto" w:sz="6" w:space="0"/>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25</w:t>
            </w:r>
          </w:p>
        </w:tc>
        <w:tc>
          <w:tcPr>
            <w:tcW w:w="513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外锚地保税燃料油受油船舶“申报无疫放行”制度</w:t>
            </w:r>
          </w:p>
        </w:tc>
        <w:tc>
          <w:tcPr>
            <w:tcW w:w="154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海关总署</w:t>
            </w:r>
          </w:p>
        </w:tc>
        <w:tc>
          <w:tcPr>
            <w:tcW w:w="156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全国</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40" w:type="dxa"/>
            <w:tcBorders>
              <w:top w:val="nil"/>
              <w:left w:val="single" w:color="auto" w:sz="6" w:space="0"/>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26</w:t>
            </w:r>
          </w:p>
        </w:tc>
        <w:tc>
          <w:tcPr>
            <w:tcW w:w="513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海关特殊监管区域“四自一简”监管创新</w:t>
            </w:r>
          </w:p>
        </w:tc>
        <w:tc>
          <w:tcPr>
            <w:tcW w:w="154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海关总署</w:t>
            </w:r>
          </w:p>
        </w:tc>
        <w:tc>
          <w:tcPr>
            <w:tcW w:w="156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left"/>
              <w:rPr>
                <w:color w:val="262626"/>
              </w:rPr>
            </w:pPr>
            <w:r>
              <w:rPr>
                <w:rFonts w:hint="eastAsia" w:ascii="宋体" w:hAnsi="宋体" w:eastAsia="宋体" w:cs="宋体"/>
                <w:color w:val="262626"/>
                <w:sz w:val="19"/>
                <w:szCs w:val="19"/>
                <w:bdr w:val="none" w:color="auto" w:sz="0" w:space="0"/>
              </w:rPr>
              <w:t>全国海关特殊监管区域</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40" w:type="dxa"/>
            <w:tcBorders>
              <w:top w:val="nil"/>
              <w:left w:val="single" w:color="auto" w:sz="6" w:space="0"/>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27</w:t>
            </w:r>
          </w:p>
        </w:tc>
        <w:tc>
          <w:tcPr>
            <w:tcW w:w="513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先出区、后报关</w:t>
            </w:r>
          </w:p>
        </w:tc>
        <w:tc>
          <w:tcPr>
            <w:tcW w:w="154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海关总署</w:t>
            </w:r>
          </w:p>
        </w:tc>
        <w:tc>
          <w:tcPr>
            <w:tcW w:w="156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left"/>
              <w:rPr>
                <w:color w:val="262626"/>
              </w:rPr>
            </w:pPr>
            <w:r>
              <w:rPr>
                <w:rFonts w:hint="eastAsia" w:ascii="宋体" w:hAnsi="宋体" w:eastAsia="宋体" w:cs="宋体"/>
                <w:color w:val="262626"/>
                <w:sz w:val="19"/>
                <w:szCs w:val="19"/>
                <w:bdr w:val="none" w:color="auto" w:sz="0" w:space="0"/>
              </w:rPr>
              <w:t>全国海关特殊监管区域及保税物流中心（</w:t>
            </w:r>
            <w:r>
              <w:rPr>
                <w:rFonts w:hint="default" w:ascii="Calibri" w:hAnsi="Calibri" w:eastAsia="宋体" w:cs="Calibri"/>
                <w:color w:val="262626"/>
                <w:sz w:val="19"/>
                <w:szCs w:val="19"/>
                <w:bdr w:val="none" w:color="auto" w:sz="0" w:space="0"/>
              </w:rPr>
              <w:t>B</w:t>
            </w:r>
            <w:r>
              <w:rPr>
                <w:rFonts w:hint="eastAsia" w:ascii="宋体" w:hAnsi="宋体" w:eastAsia="宋体" w:cs="宋体"/>
                <w:color w:val="262626"/>
                <w:sz w:val="19"/>
                <w:szCs w:val="19"/>
                <w:bdr w:val="none" w:color="auto" w:sz="0" w:space="0"/>
              </w:rPr>
              <w:t>型）</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40" w:type="dxa"/>
            <w:tcBorders>
              <w:top w:val="nil"/>
              <w:left w:val="single" w:color="auto" w:sz="6" w:space="0"/>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28</w:t>
            </w:r>
          </w:p>
        </w:tc>
        <w:tc>
          <w:tcPr>
            <w:tcW w:w="513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“保税混矿”监管创新</w:t>
            </w:r>
          </w:p>
        </w:tc>
        <w:tc>
          <w:tcPr>
            <w:tcW w:w="154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海关总署</w:t>
            </w:r>
          </w:p>
        </w:tc>
        <w:tc>
          <w:tcPr>
            <w:tcW w:w="156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left"/>
              <w:rPr>
                <w:color w:val="262626"/>
              </w:rPr>
            </w:pPr>
            <w:r>
              <w:rPr>
                <w:rFonts w:hint="eastAsia" w:ascii="宋体" w:hAnsi="宋体" w:eastAsia="宋体" w:cs="宋体"/>
                <w:color w:val="262626"/>
                <w:sz w:val="19"/>
                <w:szCs w:val="19"/>
                <w:bdr w:val="none" w:color="auto" w:sz="0" w:space="0"/>
              </w:rPr>
              <w:t>全国海关特殊监管区域</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40" w:type="dxa"/>
            <w:tcBorders>
              <w:top w:val="nil"/>
              <w:left w:val="single" w:color="auto" w:sz="6" w:space="0"/>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29</w:t>
            </w:r>
          </w:p>
        </w:tc>
        <w:tc>
          <w:tcPr>
            <w:tcW w:w="513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一般纳税人登记网上办理</w:t>
            </w:r>
          </w:p>
        </w:tc>
        <w:tc>
          <w:tcPr>
            <w:tcW w:w="154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税务总局</w:t>
            </w:r>
          </w:p>
        </w:tc>
        <w:tc>
          <w:tcPr>
            <w:tcW w:w="156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全国</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40" w:type="dxa"/>
            <w:tcBorders>
              <w:top w:val="nil"/>
              <w:left w:val="single" w:color="auto" w:sz="6" w:space="0"/>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30</w:t>
            </w:r>
          </w:p>
        </w:tc>
        <w:tc>
          <w:tcPr>
            <w:tcW w:w="513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工业产品生产许可证“一企一证”改革</w:t>
            </w:r>
          </w:p>
        </w:tc>
        <w:tc>
          <w:tcPr>
            <w:tcW w:w="154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both"/>
              <w:rPr>
                <w:color w:val="262626"/>
              </w:rPr>
            </w:pPr>
            <w:r>
              <w:rPr>
                <w:rFonts w:hint="eastAsia" w:ascii="宋体" w:hAnsi="宋体" w:eastAsia="宋体" w:cs="宋体"/>
                <w:color w:val="262626"/>
                <w:sz w:val="19"/>
                <w:szCs w:val="19"/>
                <w:bdr w:val="none" w:color="auto" w:sz="0" w:space="0"/>
              </w:rPr>
              <w:t>国家市场监督管理总局</w:t>
            </w:r>
          </w:p>
        </w:tc>
        <w:tc>
          <w:tcPr>
            <w:tcW w:w="156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Fonts w:hint="eastAsia" w:ascii="宋体" w:hAnsi="宋体" w:eastAsia="宋体" w:cs="宋体"/>
                <w:color w:val="262626"/>
                <w:sz w:val="19"/>
                <w:szCs w:val="19"/>
                <w:bdr w:val="none" w:color="auto" w:sz="0" w:space="0"/>
              </w:rPr>
              <w:t>全国</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B2D1A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Office_11.8.2.8621_F1E327BC-269C-435d-A152-05C5408002CA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2021-08-05T01:14:00Z</dcterms:created>
  <dc:creator>lenovo</dc:creator>
  <cp:lastModifiedBy>426</cp:lastModifiedBy>
  <dcterms:modified xsi:type="dcterms:W3CDTF">2021-08-05T01:14:18Z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2052-11.8.2.8621</vt:lpwstr>
  </property>
</Properties>
</file>