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rPr>
      </w:pPr>
      <w:r>
        <w:rPr>
          <w:rFonts w:hint="eastAsia" w:ascii="宋体" w:hAnsi="宋体" w:eastAsia="宋体" w:cs="宋体"/>
          <w:b/>
          <w:sz w:val="36"/>
          <w:szCs w:val="36"/>
          <w:bdr w:val="none" w:color="auto" w:sz="0" w:space="0"/>
        </w:rPr>
        <w:t>国务院关于做好自由贸易试验区第六批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宋体" w:hAnsi="宋体" w:eastAsia="宋体" w:cs="宋体"/>
        </w:rPr>
      </w:pPr>
      <w:r>
        <w:rPr>
          <w:rFonts w:hint="eastAsia" w:ascii="宋体" w:hAnsi="宋体" w:eastAsia="宋体" w:cs="宋体"/>
          <w:b/>
          <w:sz w:val="36"/>
          <w:szCs w:val="36"/>
          <w:bdr w:val="none" w:color="auto" w:sz="0" w:space="0"/>
        </w:rPr>
        <w:t>改革试点经验复制推广工作的通知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楷体" w:hAnsi="楷体" w:eastAsia="楷体" w:cs="楷体"/>
          <w:bdr w:val="none" w:color="auto" w:sz="0" w:space="0"/>
        </w:rPr>
        <w:t>国函〔2020〕96号</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宋体" w:hAnsi="宋体" w:eastAsia="宋体" w:cs="宋体"/>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宋体" w:hAnsi="宋体" w:eastAsia="宋体" w:cs="宋体"/>
        </w:rPr>
      </w:pPr>
      <w:r>
        <w:rPr>
          <w:rFonts w:hint="eastAsia" w:ascii="宋体" w:hAnsi="宋体" w:eastAsia="宋体" w:cs="宋体"/>
          <w:bdr w:val="none" w:color="auto" w:sz="0" w:space="0"/>
        </w:rPr>
        <w:t>各省、自治区、直辖市人民政府，国务院各部委、各直属机构：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宋体" w:hAnsi="宋体" w:eastAsia="宋体" w:cs="宋体"/>
        </w:rPr>
      </w:pPr>
      <w:r>
        <w:rPr>
          <w:rFonts w:hint="eastAsia" w:ascii="宋体" w:hAnsi="宋体" w:eastAsia="宋体" w:cs="宋体"/>
          <w:bdr w:val="none" w:color="auto" w:sz="0" w:space="0"/>
        </w:rPr>
        <w:t>建设自由贸易试验区（以下简称自贸试验区）是党中央、国务院在新时代推进改革开放的一项战略举措，肩负着为全面深化改革和扩大开放探索新途径、积累新经验的重大使命。按照党中央、国务院决策部署，自贸试验区所在地方和有关部门结合各自贸试验区功能定位和特色特点，全力推进制度创新实践，形成了自贸试验区第六批改革试点经验，将在全国范围内复制推广。现就有关事项通知如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宋体" w:hAnsi="宋体" w:eastAsia="宋体" w:cs="宋体"/>
        </w:rPr>
      </w:pPr>
      <w:r>
        <w:rPr>
          <w:rFonts w:hint="eastAsia" w:ascii="宋体" w:hAnsi="宋体" w:eastAsia="宋体" w:cs="宋体"/>
          <w:b/>
          <w:bdr w:val="none" w:color="auto" w:sz="0" w:space="0"/>
        </w:rPr>
        <w:t>一、复制推广的主要内容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rFonts w:hint="eastAsia" w:ascii="楷体" w:hAnsi="楷体" w:eastAsia="楷体" w:cs="楷体"/>
          <w:bdr w:val="none" w:color="auto" w:sz="0" w:space="0"/>
        </w:rPr>
        <w:t>（一）在全国范围内复制推广的改革事项。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rFonts w:hint="eastAsia" w:ascii="楷体" w:hAnsi="楷体" w:eastAsia="楷体" w:cs="楷体"/>
          <w:bdr w:val="none" w:color="auto" w:sz="0" w:space="0"/>
        </w:rPr>
        <w:t>1.投资管理领域：</w:t>
      </w:r>
      <w:r>
        <w:rPr>
          <w:rFonts w:hint="eastAsia" w:ascii="宋体" w:hAnsi="宋体" w:eastAsia="宋体" w:cs="宋体"/>
          <w:bdr w:val="none" w:color="auto" w:sz="0" w:space="0"/>
        </w:rPr>
        <w:t>“出版物发行业务许可与网络发行备案联办制度”、“绿色船舶修理企业规范管理”、“电力工程审批绿色通道”、“以三维地籍为核心的土地立体化管理模式”、“不动产登记业务便民模式”、“增值税小规模纳税人智能辅助申报服务”、“证照‘一口受理、并联办理’审批服务模式”、“企业‘套餐式’注销服务模式”、“医疗器械注册人委托生产模式”等9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rFonts w:hint="eastAsia" w:ascii="楷体" w:hAnsi="楷体" w:eastAsia="楷体" w:cs="楷体"/>
          <w:bdr w:val="none" w:color="auto" w:sz="0" w:space="0"/>
        </w:rPr>
        <w:t>2.贸易便利化领域：</w:t>
      </w:r>
      <w:r>
        <w:rPr>
          <w:rFonts w:hint="eastAsia" w:ascii="宋体" w:hAnsi="宋体" w:eastAsia="宋体" w:cs="宋体"/>
          <w:bdr w:val="none" w:color="auto" w:sz="0" w:space="0"/>
        </w:rPr>
        <w:t>“‘融资租赁+汽车出口’业务创新”、“飞机行业内加工贸易保税货物便捷调拨监管模式”、“跨境电商零售进口退货中心仓模式”、“进出口商品智慧申报导航服务”、“冰鲜水产品两段准入监管模式”、“货物贸易‘一保多用’管理模式”、“边检行政许可网上办理”等7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rFonts w:hint="eastAsia" w:ascii="楷体" w:hAnsi="楷体" w:eastAsia="楷体" w:cs="楷体"/>
          <w:bdr w:val="none" w:color="auto" w:sz="0" w:space="0"/>
        </w:rPr>
        <w:t>3.金融开放创新领域：</w:t>
      </w:r>
      <w:r>
        <w:rPr>
          <w:rFonts w:hint="eastAsia" w:ascii="宋体" w:hAnsi="宋体" w:eastAsia="宋体" w:cs="宋体"/>
          <w:bdr w:val="none" w:color="auto" w:sz="0" w:space="0"/>
        </w:rPr>
        <w:t>“保理公司接入央行企业征信系统”、“分布式共享模式实现‘银政互通’”、“绿色债务融资工具创新”、“知识产权证券化”等4项。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rFonts w:hint="eastAsia" w:ascii="楷体" w:hAnsi="楷体" w:eastAsia="楷体" w:cs="楷体"/>
          <w:bdr w:val="none" w:color="auto" w:sz="0" w:space="0"/>
        </w:rPr>
        <w:t>4.事中事后监管措施：</w:t>
      </w:r>
      <w:r>
        <w:rPr>
          <w:rFonts w:hint="eastAsia" w:ascii="宋体" w:hAnsi="宋体" w:eastAsia="宋体" w:cs="宋体"/>
          <w:bdr w:val="none" w:color="auto" w:sz="0" w:space="0"/>
        </w:rPr>
        <w:t>“‘委托公证+政府询价+异地处置’财产执行云处置模式”、“多领域实施包容免罚清单模式”、“海关公证电子送达系统”、“商事主体信用修复制度”、“融资租赁公司风险防控大数据平台”、“大型机场运行协调新机制”等6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rFonts w:hint="eastAsia" w:ascii="楷体" w:hAnsi="楷体" w:eastAsia="楷体" w:cs="楷体"/>
          <w:bdr w:val="none" w:color="auto" w:sz="0" w:space="0"/>
        </w:rPr>
        <w:t>5.人力资源领域：</w:t>
      </w:r>
      <w:r>
        <w:rPr>
          <w:rFonts w:hint="eastAsia" w:ascii="宋体" w:hAnsi="宋体" w:eastAsia="宋体" w:cs="宋体"/>
          <w:bdr w:val="none" w:color="auto" w:sz="0" w:space="0"/>
        </w:rPr>
        <w:t>“领事业务‘一网通办’”、“直接采认台湾地区部分技能人员职业资格”、“航空维修产业职称评审”、“船员远程计算机终端考试”、“出入境人员综合服务‘一站式’平台”等5项。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pPr>
      <w:r>
        <w:rPr>
          <w:rFonts w:hint="eastAsia" w:ascii="楷体" w:hAnsi="楷体" w:eastAsia="楷体" w:cs="楷体"/>
          <w:bdr w:val="none" w:color="auto" w:sz="0" w:space="0"/>
        </w:rPr>
        <w:t>（二）在特定区域复制推广的改革事项。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宋体" w:hAnsi="宋体" w:eastAsia="宋体" w:cs="宋体"/>
        </w:rPr>
      </w:pPr>
      <w:r>
        <w:rPr>
          <w:rFonts w:hint="eastAsia" w:ascii="宋体" w:hAnsi="宋体" w:eastAsia="宋体" w:cs="宋体"/>
          <w:bdr w:val="none" w:color="auto" w:sz="0" w:space="0"/>
        </w:rPr>
        <w:t>1.在自贸试验区复制推广“建设项目水、电、气、暖现场一次联办模式”、“股权转让登记远程确认服务”、“野生动植物进出口行政许可审批事项改革”等3项。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宋体" w:hAnsi="宋体" w:eastAsia="宋体" w:cs="宋体"/>
        </w:rPr>
      </w:pPr>
      <w:r>
        <w:rPr>
          <w:rFonts w:hint="eastAsia" w:ascii="宋体" w:hAnsi="宋体" w:eastAsia="宋体" w:cs="宋体"/>
          <w:bdr w:val="none" w:color="auto" w:sz="0" w:space="0"/>
        </w:rPr>
        <w:t>2.在二手车出口业务试点地区复制推广“二手车出口业务新模式”。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宋体" w:hAnsi="宋体" w:eastAsia="宋体" w:cs="宋体"/>
        </w:rPr>
      </w:pPr>
      <w:r>
        <w:rPr>
          <w:rFonts w:hint="eastAsia" w:ascii="宋体" w:hAnsi="宋体" w:eastAsia="宋体" w:cs="宋体"/>
          <w:bdr w:val="none" w:color="auto" w:sz="0" w:space="0"/>
        </w:rPr>
        <w:t>3.在保税监管场所复制推广“保税航煤出口质量流量计计量新模式”。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宋体" w:hAnsi="宋体" w:eastAsia="宋体" w:cs="宋体"/>
        </w:rPr>
      </w:pPr>
      <w:r>
        <w:rPr>
          <w:rFonts w:hint="eastAsia" w:ascii="宋体" w:hAnsi="宋体" w:eastAsia="宋体" w:cs="宋体"/>
          <w:bdr w:val="none" w:color="auto" w:sz="0" w:space="0"/>
        </w:rPr>
        <w:t>4.在成都铁路局局管范围内复制推广“空铁联运一单制货物运输模式”。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宋体" w:hAnsi="宋体" w:eastAsia="宋体" w:cs="宋体"/>
        </w:rPr>
      </w:pPr>
      <w:r>
        <w:rPr>
          <w:rFonts w:hint="eastAsia" w:ascii="宋体" w:hAnsi="宋体" w:eastAsia="宋体" w:cs="宋体"/>
          <w:b/>
          <w:bdr w:val="none" w:color="auto" w:sz="0" w:space="0"/>
        </w:rPr>
        <w:t>二、高度重视复制推广工作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宋体" w:hAnsi="宋体" w:eastAsia="宋体" w:cs="宋体"/>
        </w:rPr>
      </w:pPr>
      <w:r>
        <w:rPr>
          <w:rFonts w:hint="eastAsia" w:ascii="宋体" w:hAnsi="宋体" w:eastAsia="宋体" w:cs="宋体"/>
          <w:bdr w:val="none" w:color="auto" w:sz="0" w:space="0"/>
        </w:rPr>
        <w:t>各地区、各部门要以习近平新时代中国特色社会主义思想为指导，全面贯彻党的十九大和十九届二中、三中、四中全会精神，深刻认识复制推广自贸试验区改革试点经验的重大意义，将复制推广工作作为贯彻新发展理念、推动高质量发展、建设现代化经济体系的重要举措。要把复制推广第六批改革试点经验与巩固落实前五批经验结合起来，同一领域的要加强系统集成，不同领域的要强化协同高效，推动各方面制度更加成熟更加定型，把制度优势转化为治理效能，推进治理体系和治理能力现代化，进一步优化营商环境，激发市场活力，建设更高水平开放型经济新体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宋体" w:hAnsi="宋体" w:eastAsia="宋体" w:cs="宋体"/>
        </w:rPr>
      </w:pPr>
      <w:r>
        <w:rPr>
          <w:rFonts w:hint="eastAsia" w:ascii="宋体" w:hAnsi="宋体" w:eastAsia="宋体" w:cs="宋体"/>
          <w:b/>
          <w:bdr w:val="none" w:color="auto" w:sz="0" w:space="0"/>
        </w:rPr>
        <w:t>三、切实做好组织实施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宋体" w:hAnsi="宋体" w:eastAsia="宋体" w:cs="宋体"/>
        </w:rPr>
      </w:pPr>
      <w:r>
        <w:rPr>
          <w:rFonts w:hint="eastAsia" w:ascii="宋体" w:hAnsi="宋体" w:eastAsia="宋体" w:cs="宋体"/>
          <w:bdr w:val="none" w:color="auto" w:sz="0" w:space="0"/>
        </w:rPr>
        <w:t>各省（自治区、直辖市）人民政府要将自贸试验区改革试点经验复制推广工作列为本地区重点工作，加强组织领导，加大实施力度，确保复制推广工作顺利推进、取得实效。国务院各有关部门要结合工作职责，主动作为，指导完成复制推广工作。需报国务院批准的事项要按程序报批，需调整有关行政法规、国务院文件和部门规章规定的，要按法定程序办理。国务院自由贸易试验区工作部际联席会议办公室要开展成效评估，协调解决复制推广工作中的重点难点问题。复制推广工作中遇到的重大问题，要及时报告国务院。</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宋体" w:hAnsi="宋体" w:eastAsia="宋体" w:cs="宋体"/>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宋体" w:hAnsi="宋体" w:eastAsia="宋体" w:cs="宋体"/>
        </w:rPr>
      </w:pPr>
      <w:r>
        <w:rPr>
          <w:rFonts w:hint="eastAsia" w:ascii="宋体" w:hAnsi="宋体" w:eastAsia="宋体" w:cs="宋体"/>
          <w:bdr w:val="none" w:color="auto" w:sz="0" w:space="0"/>
        </w:rPr>
        <w:t>附件：自由贸易试验区第六批改革试点经验复制推广工作任务分工表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right"/>
        <w:rPr>
          <w:rFonts w:hint="eastAsia" w:ascii="宋体" w:hAnsi="宋体" w:eastAsia="宋体" w:cs="宋体"/>
        </w:rPr>
      </w:pPr>
      <w:r>
        <w:rPr>
          <w:rFonts w:hint="eastAsia" w:ascii="宋体" w:hAnsi="宋体" w:eastAsia="宋体" w:cs="宋体"/>
          <w:bdr w:val="none" w:color="auto" w:sz="0" w:space="0"/>
        </w:rPr>
        <w:t>国务院</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right"/>
        <w:rPr>
          <w:rFonts w:hint="eastAsia" w:ascii="宋体" w:hAnsi="宋体" w:eastAsia="宋体" w:cs="宋体"/>
        </w:rPr>
      </w:pPr>
      <w:r>
        <w:rPr>
          <w:rFonts w:hint="eastAsia" w:ascii="宋体" w:hAnsi="宋体" w:eastAsia="宋体" w:cs="宋体"/>
          <w:bdr w:val="none" w:color="auto" w:sz="0" w:space="0"/>
        </w:rPr>
        <w:t>2020年6月28日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宋体" w:hAnsi="宋体" w:eastAsia="宋体" w:cs="宋体"/>
        </w:rPr>
      </w:pPr>
      <w:r>
        <w:rPr>
          <w:rFonts w:hint="eastAsia" w:ascii="宋体" w:hAnsi="宋体" w:eastAsia="宋体" w:cs="宋体"/>
          <w:bdr w:val="none" w:color="auto" w:sz="0" w:space="0"/>
        </w:rPr>
        <w:t>（此件公开发布）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宋体" w:hAnsi="宋体" w:eastAsia="宋体" w:cs="宋体"/>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宋体" w:hAnsi="宋体" w:eastAsia="宋体" w:cs="宋体"/>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宋体" w:hAnsi="宋体" w:eastAsia="宋体" w:cs="宋体"/>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宋体" w:hAnsi="宋体" w:eastAsia="宋体" w:cs="宋体"/>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宋体" w:hAnsi="宋体" w:eastAsia="宋体" w:cs="宋体"/>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宋体" w:hAnsi="宋体" w:eastAsia="宋体" w:cs="宋体"/>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宋体" w:hAnsi="宋体" w:eastAsia="宋体" w:cs="宋体"/>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宋体" w:hAnsi="宋体" w:eastAsia="宋体" w:cs="宋体"/>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宋体" w:hAnsi="宋体" w:eastAsia="宋体" w:cs="宋体"/>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宋体" w:hAnsi="宋体" w:eastAsia="宋体" w:cs="宋体"/>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宋体" w:hAnsi="宋体" w:eastAsia="宋体" w:cs="宋体"/>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宋体" w:hAnsi="宋体" w:eastAsia="宋体" w:cs="宋体"/>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宋体" w:hAnsi="宋体" w:eastAsia="宋体" w:cs="宋体"/>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宋体" w:hAnsi="宋体" w:eastAsia="宋体" w:cs="宋体"/>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宋体" w:hAnsi="宋体" w:eastAsia="宋体" w:cs="宋体"/>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宋体" w:hAnsi="宋体" w:eastAsia="宋体" w:cs="宋体"/>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宋体" w:hAnsi="宋体" w:eastAsia="宋体" w:cs="宋体"/>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宋体" w:hAnsi="宋体" w:eastAsia="宋体" w:cs="宋体"/>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宋体" w:hAnsi="宋体" w:eastAsia="宋体" w:cs="宋体"/>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宋体" w:hAnsi="宋体" w:eastAsia="宋体" w:cs="宋体"/>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宋体" w:hAnsi="宋体" w:eastAsia="宋体" w:cs="宋体"/>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宋体" w:hAnsi="宋体" w:eastAsia="宋体" w:cs="宋体"/>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宋体" w:hAnsi="宋体" w:eastAsia="宋体" w:cs="宋体"/>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宋体" w:hAnsi="宋体" w:eastAsia="宋体" w:cs="宋体"/>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宋体" w:hAnsi="宋体" w:eastAsia="宋体" w:cs="宋体"/>
        </w:rPr>
      </w:pPr>
      <w:bookmarkStart w:id="0" w:name="_GoBack"/>
      <w:bookmarkEnd w:id="0"/>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宋体" w:hAnsi="宋体" w:eastAsia="宋体" w:cs="宋体"/>
        </w:rPr>
      </w:pPr>
      <w:r>
        <w:rPr>
          <w:rFonts w:hint="eastAsia" w:ascii="宋体" w:hAnsi="宋体" w:eastAsia="宋体" w:cs="宋体"/>
          <w:b/>
          <w:bdr w:val="none" w:color="auto" w:sz="0" w:space="0"/>
        </w:rPr>
        <w:t>附件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both"/>
        <w:rPr>
          <w:rFonts w:hint="eastAsia" w:ascii="宋体" w:hAnsi="宋体" w:eastAsia="宋体" w:cs="宋体"/>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rPr>
      </w:pPr>
      <w:r>
        <w:rPr>
          <w:rFonts w:hint="eastAsia" w:ascii="宋体" w:hAnsi="宋体" w:eastAsia="宋体" w:cs="宋体"/>
          <w:b/>
          <w:sz w:val="36"/>
          <w:szCs w:val="36"/>
          <w:bdr w:val="none" w:color="auto" w:sz="0" w:space="0"/>
        </w:rPr>
        <w:t>自由贸易试验区第六批改革试点经验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rPr>
      </w:pPr>
      <w:r>
        <w:rPr>
          <w:rFonts w:hint="eastAsia" w:ascii="宋体" w:hAnsi="宋体" w:eastAsia="宋体" w:cs="宋体"/>
          <w:b/>
          <w:sz w:val="36"/>
          <w:szCs w:val="36"/>
          <w:bdr w:val="none" w:color="auto" w:sz="0" w:space="0"/>
        </w:rPr>
        <w:t>复制推广工作任务分工表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rPr>
      </w:pPr>
    </w:p>
    <w:tbl>
      <w:tblPr>
        <w:tblW w:w="9071" w:type="dxa"/>
        <w:jc w:val="center"/>
        <w:tblInd w:w="-274"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Layout w:type="fixed"/>
        <w:tblCellMar>
          <w:top w:w="0" w:type="dxa"/>
          <w:left w:w="0" w:type="dxa"/>
          <w:bottom w:w="0" w:type="dxa"/>
          <w:right w:w="0" w:type="dxa"/>
        </w:tblCellMar>
      </w:tblPr>
      <w:tblGrid>
        <w:gridCol w:w="803"/>
        <w:gridCol w:w="2089"/>
        <w:gridCol w:w="3646"/>
        <w:gridCol w:w="1331"/>
        <w:gridCol w:w="1202"/>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Layout w:type="fixed"/>
          <w:tblCellMar>
            <w:top w:w="0" w:type="dxa"/>
            <w:left w:w="0" w:type="dxa"/>
            <w:bottom w:w="0" w:type="dxa"/>
            <w:right w:w="0" w:type="dxa"/>
          </w:tblCellMar>
        </w:tblPrEx>
        <w:trPr>
          <w:jc w:val="center"/>
        </w:trPr>
        <w:tc>
          <w:tcPr>
            <w:tcW w:w="803" w:type="dxa"/>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b/>
                <w:kern w:val="0"/>
                <w:sz w:val="20"/>
                <w:szCs w:val="20"/>
                <w:bdr w:val="none" w:color="auto" w:sz="0" w:space="0"/>
                <w:lang w:val="en-US" w:eastAsia="zh-CN" w:bidi="ar"/>
              </w:rPr>
              <w:t>序号</w:t>
            </w:r>
          </w:p>
        </w:tc>
        <w:tc>
          <w:tcPr>
            <w:tcW w:w="2089" w:type="dxa"/>
            <w:tcBorders>
              <w:top w:val="single" w:color="auto" w:sz="8" w:space="0"/>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b/>
                <w:kern w:val="0"/>
                <w:sz w:val="20"/>
                <w:szCs w:val="20"/>
                <w:bdr w:val="none" w:color="auto" w:sz="0" w:space="0"/>
                <w:lang w:val="en-US" w:eastAsia="zh-CN" w:bidi="ar"/>
              </w:rPr>
              <w:t>改革事项</w:t>
            </w:r>
          </w:p>
        </w:tc>
        <w:tc>
          <w:tcPr>
            <w:tcW w:w="3646" w:type="dxa"/>
            <w:tcBorders>
              <w:top w:val="single" w:color="auto" w:sz="8" w:space="0"/>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b/>
                <w:kern w:val="0"/>
                <w:sz w:val="20"/>
                <w:szCs w:val="20"/>
                <w:bdr w:val="none" w:color="auto" w:sz="0" w:space="0"/>
                <w:lang w:val="en-US" w:eastAsia="zh-CN" w:bidi="ar"/>
              </w:rPr>
              <w:t>主要内容</w:t>
            </w:r>
          </w:p>
        </w:tc>
        <w:tc>
          <w:tcPr>
            <w:tcW w:w="1331" w:type="dxa"/>
            <w:tcBorders>
              <w:top w:val="single" w:color="auto" w:sz="8" w:space="0"/>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b/>
                <w:kern w:val="0"/>
                <w:sz w:val="20"/>
                <w:szCs w:val="20"/>
                <w:bdr w:val="none" w:color="auto" w:sz="0" w:space="0"/>
                <w:lang w:val="en-US" w:eastAsia="zh-CN" w:bidi="ar"/>
              </w:rPr>
              <w:t>负责单位</w:t>
            </w:r>
          </w:p>
        </w:tc>
        <w:tc>
          <w:tcPr>
            <w:tcW w:w="1202" w:type="dxa"/>
            <w:tcBorders>
              <w:top w:val="single" w:color="auto" w:sz="8" w:space="0"/>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b/>
                <w:kern w:val="0"/>
                <w:sz w:val="20"/>
                <w:szCs w:val="20"/>
                <w:bdr w:val="none" w:color="auto" w:sz="0" w:space="0"/>
                <w:lang w:val="en-US" w:eastAsia="zh-CN" w:bidi="ar"/>
              </w:rPr>
              <w:t>推广范围</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803" w:type="dxa"/>
            <w:tcBorders>
              <w:top w:val="nil"/>
              <w:left w:val="single" w:color="auto" w:sz="8" w:space="0"/>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1</w:t>
            </w:r>
          </w:p>
        </w:tc>
        <w:tc>
          <w:tcPr>
            <w:tcW w:w="2089"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出版物发行业务许可与网络发行备案联办制度</w:t>
            </w:r>
          </w:p>
        </w:tc>
        <w:tc>
          <w:tcPr>
            <w:tcW w:w="3646"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将出版物发行业务许可及从事网络发行备案申办流程由“串联”改为“并联”，企业一表填报申请、登记信息，一次性提交办理要件，并可在线补充报送信息。实行“宽进严管”、“靶向追踪”等事中事后协同监管机制，强化部门审批和监管信息共享。</w:t>
            </w:r>
          </w:p>
        </w:tc>
        <w:tc>
          <w:tcPr>
            <w:tcW w:w="1331"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中央宣传部</w:t>
            </w:r>
          </w:p>
        </w:tc>
        <w:tc>
          <w:tcPr>
            <w:tcW w:w="1202"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全国</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803" w:type="dxa"/>
            <w:tcBorders>
              <w:top w:val="nil"/>
              <w:left w:val="single" w:color="auto" w:sz="8" w:space="0"/>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2</w:t>
            </w:r>
          </w:p>
        </w:tc>
        <w:tc>
          <w:tcPr>
            <w:tcW w:w="2089"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“委托公证</w:t>
            </w:r>
            <w:r>
              <w:rPr>
                <w:rFonts w:ascii="Calibri" w:hAnsi="Calibri" w:eastAsia="宋体" w:cs="Calibri"/>
                <w:kern w:val="0"/>
                <w:sz w:val="20"/>
                <w:szCs w:val="20"/>
                <w:bdr w:val="none" w:color="auto" w:sz="0" w:space="0"/>
                <w:lang w:val="en-US" w:eastAsia="zh-CN" w:bidi="ar"/>
              </w:rPr>
              <w:t>+</w:t>
            </w:r>
            <w:r>
              <w:rPr>
                <w:rFonts w:hint="eastAsia" w:ascii="宋体" w:hAnsi="宋体" w:eastAsia="宋体" w:cs="宋体"/>
                <w:kern w:val="0"/>
                <w:sz w:val="20"/>
                <w:szCs w:val="20"/>
                <w:bdr w:val="none" w:color="auto" w:sz="0" w:space="0"/>
                <w:lang w:val="en-US" w:eastAsia="zh-CN" w:bidi="ar"/>
              </w:rPr>
              <w:t>政府询价</w:t>
            </w:r>
            <w:r>
              <w:rPr>
                <w:rFonts w:hint="default" w:ascii="Calibri" w:hAnsi="Calibri" w:eastAsia="宋体" w:cs="Calibri"/>
                <w:kern w:val="0"/>
                <w:sz w:val="20"/>
                <w:szCs w:val="20"/>
                <w:bdr w:val="none" w:color="auto" w:sz="0" w:space="0"/>
                <w:lang w:val="en-US" w:eastAsia="zh-CN" w:bidi="ar"/>
              </w:rPr>
              <w:t>+</w:t>
            </w:r>
            <w:r>
              <w:rPr>
                <w:rFonts w:hint="eastAsia" w:ascii="宋体" w:hAnsi="宋体" w:eastAsia="宋体" w:cs="宋体"/>
                <w:kern w:val="0"/>
                <w:sz w:val="20"/>
                <w:szCs w:val="20"/>
                <w:bdr w:val="none" w:color="auto" w:sz="0" w:space="0"/>
                <w:lang w:val="en-US" w:eastAsia="zh-CN" w:bidi="ar"/>
              </w:rPr>
              <w:t>异地处置”财产执行云处置模式</w:t>
            </w:r>
          </w:p>
        </w:tc>
        <w:tc>
          <w:tcPr>
            <w:tcW w:w="3646"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执行案件申请人可在异地委托财产所在地公证机关对财产实况进行取证后提交指定政府部门，由该部门委托第三方评估机构根据有关财产的公证文书及视频资料直接进行批量式书面审查评估，并向法院出具价格认定书，将此作为网上拍卖的底价依据。待网上拍卖成功后，通过人民法院执行指挥管理平台，委托异地法院完成财产的解封、解押、过户等交付手续。</w:t>
            </w:r>
          </w:p>
        </w:tc>
        <w:tc>
          <w:tcPr>
            <w:tcW w:w="1331"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最高人民法院</w:t>
            </w:r>
          </w:p>
        </w:tc>
        <w:tc>
          <w:tcPr>
            <w:tcW w:w="1202"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全国</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803" w:type="dxa"/>
            <w:tcBorders>
              <w:top w:val="nil"/>
              <w:left w:val="single" w:color="auto" w:sz="8" w:space="0"/>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3</w:t>
            </w:r>
          </w:p>
        </w:tc>
        <w:tc>
          <w:tcPr>
            <w:tcW w:w="2089"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领事业务“一网通办”</w:t>
            </w:r>
          </w:p>
        </w:tc>
        <w:tc>
          <w:tcPr>
            <w:tcW w:w="3646"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全面整合领事业务信息系统，将</w:t>
            </w:r>
            <w:r>
              <w:rPr>
                <w:rFonts w:hint="default" w:ascii="Calibri" w:hAnsi="Calibri" w:eastAsia="宋体" w:cs="Calibri"/>
                <w:kern w:val="0"/>
                <w:sz w:val="20"/>
                <w:szCs w:val="20"/>
                <w:bdr w:val="none" w:color="auto" w:sz="0" w:space="0"/>
                <w:lang w:val="en-US" w:eastAsia="zh-CN" w:bidi="ar"/>
              </w:rPr>
              <w:t>APEC</w:t>
            </w:r>
            <w:r>
              <w:rPr>
                <w:rFonts w:hint="eastAsia" w:ascii="宋体" w:hAnsi="宋体" w:eastAsia="宋体" w:cs="宋体"/>
                <w:kern w:val="0"/>
                <w:sz w:val="20"/>
                <w:szCs w:val="20"/>
                <w:bdr w:val="none" w:color="auto" w:sz="0" w:space="0"/>
                <w:lang w:val="en-US" w:eastAsia="zh-CN" w:bidi="ar"/>
              </w:rPr>
              <w:t>商务旅行卡、外国人来华邀请和领事认证三个业务系统整合至一个平台，并与外交部业务系统跨层级共享信息，实现全流程互联网不见面审批。</w:t>
            </w:r>
          </w:p>
        </w:tc>
        <w:tc>
          <w:tcPr>
            <w:tcW w:w="1331"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外交部</w:t>
            </w:r>
          </w:p>
        </w:tc>
        <w:tc>
          <w:tcPr>
            <w:tcW w:w="1202"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全国</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803" w:type="dxa"/>
            <w:tcBorders>
              <w:top w:val="nil"/>
              <w:left w:val="single" w:color="auto" w:sz="8" w:space="0"/>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4</w:t>
            </w:r>
          </w:p>
        </w:tc>
        <w:tc>
          <w:tcPr>
            <w:tcW w:w="2089"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绿色船舶修理企业规范管理</w:t>
            </w:r>
          </w:p>
        </w:tc>
        <w:tc>
          <w:tcPr>
            <w:tcW w:w="3646"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鼓励相关行业组织促进船舶修理企业绿色发展，在生产基本条件、质量管理、资源综合利用、安全生产、职业健康、环境保护、监督管理等方面明确统一标准，引导企业规范发展，加强行业自律。</w:t>
            </w:r>
          </w:p>
        </w:tc>
        <w:tc>
          <w:tcPr>
            <w:tcW w:w="1331"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工业和信息化部、交通运输部</w:t>
            </w:r>
          </w:p>
        </w:tc>
        <w:tc>
          <w:tcPr>
            <w:tcW w:w="1202"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全国</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803" w:type="dxa"/>
            <w:tcBorders>
              <w:top w:val="nil"/>
              <w:left w:val="single" w:color="auto" w:sz="8" w:space="0"/>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5</w:t>
            </w:r>
          </w:p>
        </w:tc>
        <w:tc>
          <w:tcPr>
            <w:tcW w:w="2089"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电力工程审批绿色通道</w:t>
            </w:r>
          </w:p>
        </w:tc>
        <w:tc>
          <w:tcPr>
            <w:tcW w:w="3646"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建立完善电力工程并联审批制度规范，实行公安（交警）、自然资源、市政、绿化等相关部门“一站式”联合审批，快速受理审批</w:t>
            </w:r>
            <w:r>
              <w:rPr>
                <w:rFonts w:hint="default" w:ascii="Calibri" w:hAnsi="Calibri" w:eastAsia="宋体" w:cs="Calibri"/>
                <w:kern w:val="0"/>
                <w:sz w:val="20"/>
                <w:szCs w:val="20"/>
                <w:bdr w:val="none" w:color="auto" w:sz="0" w:space="0"/>
                <w:lang w:val="en-US" w:eastAsia="zh-CN" w:bidi="ar"/>
              </w:rPr>
              <w:t>10</w:t>
            </w:r>
            <w:r>
              <w:rPr>
                <w:rFonts w:hint="eastAsia" w:ascii="宋体" w:hAnsi="宋体" w:eastAsia="宋体" w:cs="宋体"/>
                <w:kern w:val="0"/>
                <w:sz w:val="20"/>
                <w:szCs w:val="20"/>
                <w:bdr w:val="none" w:color="auto" w:sz="0" w:space="0"/>
                <w:lang w:val="en-US" w:eastAsia="zh-CN" w:bidi="ar"/>
              </w:rPr>
              <w:t>千伏及以下电力管线的规划、挖掘、占路等行政许可，统一送达许可证书。</w:t>
            </w:r>
          </w:p>
        </w:tc>
        <w:tc>
          <w:tcPr>
            <w:tcW w:w="1331"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公安部、自然资源部、住房城乡建设部、国家林草局</w:t>
            </w:r>
          </w:p>
        </w:tc>
        <w:tc>
          <w:tcPr>
            <w:tcW w:w="1202"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全国</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803" w:type="dxa"/>
            <w:tcBorders>
              <w:top w:val="nil"/>
              <w:left w:val="single" w:color="auto" w:sz="8" w:space="0"/>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6</w:t>
            </w:r>
          </w:p>
        </w:tc>
        <w:tc>
          <w:tcPr>
            <w:tcW w:w="2089"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多领域实施包容免罚清单模式</w:t>
            </w:r>
          </w:p>
        </w:tc>
        <w:tc>
          <w:tcPr>
            <w:tcW w:w="3646"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对市场主体符合首次违法、非主观故意并及时纠正、违法行为轻微、没有造成危害后果的行政违法行为，制定并发布多个领域的包容免罚清单，明确免除罚款的行政处罚。在规定期限内，动态调整免罚清单。对未在规定期限内整改或整改不到位的市场主体，行政监管部门可以依据行政处罚法等予以处罚。</w:t>
            </w:r>
          </w:p>
        </w:tc>
        <w:tc>
          <w:tcPr>
            <w:tcW w:w="1331"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司法部</w:t>
            </w:r>
          </w:p>
        </w:tc>
        <w:tc>
          <w:tcPr>
            <w:tcW w:w="1202"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全国</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803" w:type="dxa"/>
            <w:tcBorders>
              <w:top w:val="nil"/>
              <w:left w:val="single" w:color="auto" w:sz="8" w:space="0"/>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7</w:t>
            </w:r>
          </w:p>
        </w:tc>
        <w:tc>
          <w:tcPr>
            <w:tcW w:w="2089"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直接采认台湾地区部分技能人员职业资格</w:t>
            </w:r>
          </w:p>
        </w:tc>
        <w:tc>
          <w:tcPr>
            <w:tcW w:w="3646"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持有台湾地区“劳动力发展署技能检定中心”核发的中餐烹调、西餐烹调、美容、女子美发等职业甲、乙、丙级技术士证书，可直接采认为大陆相对应的职业资格。</w:t>
            </w:r>
          </w:p>
        </w:tc>
        <w:tc>
          <w:tcPr>
            <w:tcW w:w="1331"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人力资源社会保障部、中央台办</w:t>
            </w:r>
          </w:p>
        </w:tc>
        <w:tc>
          <w:tcPr>
            <w:tcW w:w="1202"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全国</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803" w:type="dxa"/>
            <w:tcBorders>
              <w:top w:val="nil"/>
              <w:left w:val="single" w:color="auto" w:sz="8" w:space="0"/>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8</w:t>
            </w:r>
          </w:p>
        </w:tc>
        <w:tc>
          <w:tcPr>
            <w:tcW w:w="2089"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航空维修产业职称评审</w:t>
            </w:r>
          </w:p>
        </w:tc>
        <w:tc>
          <w:tcPr>
            <w:tcW w:w="3646"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由航空维修企业对申报人的工作实绩和相关信息进行前置评价和审核把关，作为后续职称评审工作的重要参考依据。结合航空维修产业特点，建立专门评委会，对参评人员进行综合评审，开辟航空维修企业职工参与职称评审快捷通道。</w:t>
            </w:r>
          </w:p>
        </w:tc>
        <w:tc>
          <w:tcPr>
            <w:tcW w:w="1331"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人力资源社会保障部</w:t>
            </w:r>
          </w:p>
        </w:tc>
        <w:tc>
          <w:tcPr>
            <w:tcW w:w="1202"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全国</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803" w:type="dxa"/>
            <w:tcBorders>
              <w:top w:val="nil"/>
              <w:left w:val="single" w:color="auto" w:sz="8" w:space="0"/>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9</w:t>
            </w:r>
          </w:p>
        </w:tc>
        <w:tc>
          <w:tcPr>
            <w:tcW w:w="2089"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以三维地籍为核心的土地立体化管理模式</w:t>
            </w:r>
          </w:p>
        </w:tc>
        <w:tc>
          <w:tcPr>
            <w:tcW w:w="3646"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建立三维地籍管理系统，将三维地籍管理理念和技术方法纳入土地管理、开发建设和运营管理全过程，在土地立体化管理制度、政策、技术标准、信息平台、数据库等方面进行探索，以三维方式设定立体建设用地使用权。</w:t>
            </w:r>
          </w:p>
        </w:tc>
        <w:tc>
          <w:tcPr>
            <w:tcW w:w="1331"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自然资源部</w:t>
            </w:r>
          </w:p>
        </w:tc>
        <w:tc>
          <w:tcPr>
            <w:tcW w:w="1202"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全国</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803" w:type="dxa"/>
            <w:tcBorders>
              <w:top w:val="nil"/>
              <w:left w:val="single" w:color="auto" w:sz="8" w:space="0"/>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10</w:t>
            </w:r>
          </w:p>
        </w:tc>
        <w:tc>
          <w:tcPr>
            <w:tcW w:w="2089"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不动产登记业务便民模式</w:t>
            </w:r>
          </w:p>
        </w:tc>
        <w:tc>
          <w:tcPr>
            <w:tcW w:w="3646"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实行不动产登记“一证一码”，手机扫描不动产权证二维码可查询证书附图、限制状态等信息。个人用户可使用手机应用程序等，实现名下不动产登记信息查询、办理进度查询、费用缴纳等。</w:t>
            </w:r>
          </w:p>
        </w:tc>
        <w:tc>
          <w:tcPr>
            <w:tcW w:w="1331"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自然资源部</w:t>
            </w:r>
          </w:p>
        </w:tc>
        <w:tc>
          <w:tcPr>
            <w:tcW w:w="1202"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全国</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803" w:type="dxa"/>
            <w:tcBorders>
              <w:top w:val="nil"/>
              <w:left w:val="single" w:color="auto" w:sz="8" w:space="0"/>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11</w:t>
            </w:r>
          </w:p>
        </w:tc>
        <w:tc>
          <w:tcPr>
            <w:tcW w:w="2089"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建设项目水、电、气、暖现场一次联办模式</w:t>
            </w:r>
          </w:p>
        </w:tc>
        <w:tc>
          <w:tcPr>
            <w:tcW w:w="3646"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改革建设项目水、电、气、暖服务申报模式，由向相关市政公用基础设施单位“多家申报”，改为向政务服务中心“一家申报”。在项目现场实施受理、核查、反馈“一站式”联合办理，提供“一对一”精准服务。精简申报材料，明确时限节点，梳理办理流程，压缩办理时限。</w:t>
            </w:r>
          </w:p>
        </w:tc>
        <w:tc>
          <w:tcPr>
            <w:tcW w:w="1331"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住房城乡建设部</w:t>
            </w:r>
          </w:p>
        </w:tc>
        <w:tc>
          <w:tcPr>
            <w:tcW w:w="1202"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自贸试验区</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803" w:type="dxa"/>
            <w:tcBorders>
              <w:top w:val="nil"/>
              <w:left w:val="single" w:color="auto" w:sz="8" w:space="0"/>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12</w:t>
            </w:r>
          </w:p>
        </w:tc>
        <w:tc>
          <w:tcPr>
            <w:tcW w:w="2089"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船员远程计算机终端考试</w:t>
            </w:r>
          </w:p>
        </w:tc>
        <w:tc>
          <w:tcPr>
            <w:tcW w:w="3646"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按照统一规范要求，在船员考试业务量较多或偏远地区建立远程考场，供船员通过计算机终端参加远程理论考试。船员可根据需求预约远程考试，自主选择证书领取方式（自取或邮寄）。</w:t>
            </w:r>
          </w:p>
        </w:tc>
        <w:tc>
          <w:tcPr>
            <w:tcW w:w="1331"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交通运输部</w:t>
            </w:r>
          </w:p>
        </w:tc>
        <w:tc>
          <w:tcPr>
            <w:tcW w:w="1202"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全国</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803" w:type="dxa"/>
            <w:tcBorders>
              <w:top w:val="nil"/>
              <w:left w:val="single" w:color="auto" w:sz="8" w:space="0"/>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13</w:t>
            </w:r>
          </w:p>
        </w:tc>
        <w:tc>
          <w:tcPr>
            <w:tcW w:w="2089"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空铁联运一单制货物运输模式</w:t>
            </w:r>
          </w:p>
        </w:tc>
        <w:tc>
          <w:tcPr>
            <w:tcW w:w="3646"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推动航空运输企业和铁路运输企业作为合作承运人与货运客户签订“空铁联运单”，共同负责全程运输，分别承担相应运程责任。承运人收揽货物后，通过铁路或航空将货物运至中转站，进行“班机</w:t>
            </w:r>
            <w:r>
              <w:rPr>
                <w:rFonts w:hint="default" w:ascii="Calibri" w:hAnsi="Calibri" w:eastAsia="宋体" w:cs="Calibri"/>
                <w:kern w:val="0"/>
                <w:sz w:val="20"/>
                <w:szCs w:val="20"/>
                <w:bdr w:val="none" w:color="auto" w:sz="0" w:space="0"/>
                <w:lang w:val="en-US" w:eastAsia="zh-CN" w:bidi="ar"/>
              </w:rPr>
              <w:t>+</w:t>
            </w:r>
            <w:r>
              <w:rPr>
                <w:rFonts w:hint="eastAsia" w:ascii="宋体" w:hAnsi="宋体" w:eastAsia="宋体" w:cs="宋体"/>
                <w:kern w:val="0"/>
                <w:sz w:val="20"/>
                <w:szCs w:val="20"/>
                <w:bdr w:val="none" w:color="auto" w:sz="0" w:space="0"/>
                <w:lang w:val="en-US" w:eastAsia="zh-CN" w:bidi="ar"/>
              </w:rPr>
              <w:t>班列”的衔接转运，完成下一运程。</w:t>
            </w:r>
          </w:p>
        </w:tc>
        <w:tc>
          <w:tcPr>
            <w:tcW w:w="1331"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交通运输部、中国民航局、中国国家铁路集团有限公司</w:t>
            </w:r>
          </w:p>
        </w:tc>
        <w:tc>
          <w:tcPr>
            <w:tcW w:w="1202"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成都铁路局局管范围内</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803" w:type="dxa"/>
            <w:tcBorders>
              <w:top w:val="nil"/>
              <w:left w:val="single" w:color="auto" w:sz="8" w:space="0"/>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14</w:t>
            </w:r>
          </w:p>
        </w:tc>
        <w:tc>
          <w:tcPr>
            <w:tcW w:w="2089"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“融资租赁</w:t>
            </w:r>
            <w:r>
              <w:rPr>
                <w:rFonts w:hint="default" w:ascii="Calibri" w:hAnsi="Calibri" w:eastAsia="宋体" w:cs="Calibri"/>
                <w:kern w:val="0"/>
                <w:sz w:val="20"/>
                <w:szCs w:val="20"/>
                <w:bdr w:val="none" w:color="auto" w:sz="0" w:space="0"/>
                <w:lang w:val="en-US" w:eastAsia="zh-CN" w:bidi="ar"/>
              </w:rPr>
              <w:t>+</w:t>
            </w:r>
            <w:r>
              <w:rPr>
                <w:rFonts w:hint="eastAsia" w:ascii="宋体" w:hAnsi="宋体" w:eastAsia="宋体" w:cs="宋体"/>
                <w:kern w:val="0"/>
                <w:sz w:val="20"/>
                <w:szCs w:val="20"/>
                <w:bdr w:val="none" w:color="auto" w:sz="0" w:space="0"/>
                <w:lang w:val="en-US" w:eastAsia="zh-CN" w:bidi="ar"/>
              </w:rPr>
              <w:t>汽车出口”业务创新</w:t>
            </w:r>
          </w:p>
        </w:tc>
        <w:tc>
          <w:tcPr>
            <w:tcW w:w="3646"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支持以融资租赁方式开展汽车出口业务，在商务部汽车出口许可证申请系统中增设相应贸易方式选项，并按照企业实际需求采用合适的许可证签发方式，便利企业回款。</w:t>
            </w:r>
          </w:p>
        </w:tc>
        <w:tc>
          <w:tcPr>
            <w:tcW w:w="1331"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商务部、银保监会</w:t>
            </w:r>
          </w:p>
        </w:tc>
        <w:tc>
          <w:tcPr>
            <w:tcW w:w="1202"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全国</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803" w:type="dxa"/>
            <w:tcBorders>
              <w:top w:val="nil"/>
              <w:left w:val="single" w:color="auto" w:sz="8" w:space="0"/>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15</w:t>
            </w:r>
          </w:p>
        </w:tc>
        <w:tc>
          <w:tcPr>
            <w:tcW w:w="2089"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二手车出口业务新模式</w:t>
            </w:r>
          </w:p>
        </w:tc>
        <w:tc>
          <w:tcPr>
            <w:tcW w:w="3646"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建立二手车出口服务和监管信息化平台，实现车辆全流程信息来源可溯、去向可查、责任可究。优化通关流程和物流流程，鼓励企业提前申报。将出口许可证管理由“一车一证”改为“一批一证”，推进通关便利化。</w:t>
            </w:r>
          </w:p>
        </w:tc>
        <w:tc>
          <w:tcPr>
            <w:tcW w:w="1331"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商务部、公安部、海关总署</w:t>
            </w:r>
          </w:p>
        </w:tc>
        <w:tc>
          <w:tcPr>
            <w:tcW w:w="1202"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二手车出口业务试点地区</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803" w:type="dxa"/>
            <w:tcBorders>
              <w:top w:val="nil"/>
              <w:left w:val="single" w:color="auto" w:sz="8" w:space="0"/>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16</w:t>
            </w:r>
          </w:p>
        </w:tc>
        <w:tc>
          <w:tcPr>
            <w:tcW w:w="2089"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保理公司接入央行企业征信系统</w:t>
            </w:r>
          </w:p>
        </w:tc>
        <w:tc>
          <w:tcPr>
            <w:tcW w:w="3646"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对成立时间超过一年、经地方金融监督管理局推荐、通过中国人民银行派出机构审查的商业保理法人企业，以专线直接接入和互联网平台方式接入央行企业征信系统。</w:t>
            </w:r>
          </w:p>
        </w:tc>
        <w:tc>
          <w:tcPr>
            <w:tcW w:w="1331"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人民银行、银保监会</w:t>
            </w:r>
          </w:p>
        </w:tc>
        <w:tc>
          <w:tcPr>
            <w:tcW w:w="1202"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全国</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803" w:type="dxa"/>
            <w:tcBorders>
              <w:top w:val="nil"/>
              <w:left w:val="single" w:color="auto" w:sz="8" w:space="0"/>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17</w:t>
            </w:r>
          </w:p>
        </w:tc>
        <w:tc>
          <w:tcPr>
            <w:tcW w:w="2089"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分布式共享模式实现“银政互通”</w:t>
            </w:r>
          </w:p>
        </w:tc>
        <w:tc>
          <w:tcPr>
            <w:tcW w:w="3646"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通过规范数据接口实现银行与相关政府部门专线联通，拓展基于银政信息实时共享的服务项目，实现抵押登记、抵押注销等业务的高效办理。</w:t>
            </w:r>
          </w:p>
        </w:tc>
        <w:tc>
          <w:tcPr>
            <w:tcW w:w="1331"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人民银行、自然资源部、银保监会</w:t>
            </w:r>
          </w:p>
        </w:tc>
        <w:tc>
          <w:tcPr>
            <w:tcW w:w="1202"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全国</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803" w:type="dxa"/>
            <w:tcBorders>
              <w:top w:val="nil"/>
              <w:left w:val="single" w:color="auto" w:sz="8" w:space="0"/>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18</w:t>
            </w:r>
          </w:p>
        </w:tc>
        <w:tc>
          <w:tcPr>
            <w:tcW w:w="2089"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绿色债务融资工具创新</w:t>
            </w:r>
          </w:p>
        </w:tc>
        <w:tc>
          <w:tcPr>
            <w:tcW w:w="3646"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在银行间市场交易商协会和地方金融监督管理局的合作框架下，地方金融监督管理局、主承销商及发债主体建立专业指导、整体联动的长效工作机制。建立主承销商长效沟通机制，推动金融机构加大债券承销工作力度，重点服务绿色债券发行。加强已发债券事后监督管理，联合金融机构加强债券市场风险监测，防控信用风险，维护市场稳定。加强绿色债券存续期管理，规范募集资金使用，确保投向节能环保、污染防治、资源节约与循环利用等专项领域。</w:t>
            </w:r>
          </w:p>
        </w:tc>
        <w:tc>
          <w:tcPr>
            <w:tcW w:w="1331"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人民银行</w:t>
            </w:r>
          </w:p>
        </w:tc>
        <w:tc>
          <w:tcPr>
            <w:tcW w:w="1202"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全国</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803" w:type="dxa"/>
            <w:tcBorders>
              <w:top w:val="nil"/>
              <w:left w:val="single" w:color="auto" w:sz="8" w:space="0"/>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19</w:t>
            </w:r>
          </w:p>
        </w:tc>
        <w:tc>
          <w:tcPr>
            <w:tcW w:w="2089"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飞机行业内加工贸易保税货物便捷调拨监管模式</w:t>
            </w:r>
          </w:p>
        </w:tc>
        <w:tc>
          <w:tcPr>
            <w:tcW w:w="3646"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推行便捷监管模式，允许飞机行业对未经加工的保税料件以“余料结转”的方式在集团内不同企业、不同加工贸易手（账）册间自行调拨。实施“电子底账</w:t>
            </w:r>
            <w:r>
              <w:rPr>
                <w:rFonts w:hint="default" w:ascii="Calibri" w:hAnsi="Calibri" w:eastAsia="宋体" w:cs="Calibri"/>
                <w:kern w:val="0"/>
                <w:sz w:val="20"/>
                <w:szCs w:val="20"/>
                <w:bdr w:val="none" w:color="auto" w:sz="0" w:space="0"/>
                <w:lang w:val="en-US" w:eastAsia="zh-CN" w:bidi="ar"/>
              </w:rPr>
              <w:t>+</w:t>
            </w:r>
            <w:r>
              <w:rPr>
                <w:rFonts w:hint="eastAsia" w:ascii="宋体" w:hAnsi="宋体" w:eastAsia="宋体" w:cs="宋体"/>
                <w:kern w:val="0"/>
                <w:sz w:val="20"/>
                <w:szCs w:val="20"/>
                <w:bdr w:val="none" w:color="auto" w:sz="0" w:space="0"/>
                <w:lang w:val="en-US" w:eastAsia="zh-CN" w:bidi="ar"/>
              </w:rPr>
              <w:t>企业自核”监管模式，根据飞机行业特点，强化企业申报责任，在海关评估企业诚信守法程度后实施企业自核自管和“主料工作法”。</w:t>
            </w:r>
          </w:p>
        </w:tc>
        <w:tc>
          <w:tcPr>
            <w:tcW w:w="1331"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海关总署、商务部</w:t>
            </w:r>
          </w:p>
        </w:tc>
        <w:tc>
          <w:tcPr>
            <w:tcW w:w="1202"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全国</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803" w:type="dxa"/>
            <w:tcBorders>
              <w:top w:val="nil"/>
              <w:left w:val="single" w:color="auto" w:sz="8" w:space="0"/>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20</w:t>
            </w:r>
          </w:p>
        </w:tc>
        <w:tc>
          <w:tcPr>
            <w:tcW w:w="2089"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跨境电商零售进口退货中心仓模式</w:t>
            </w:r>
          </w:p>
        </w:tc>
        <w:tc>
          <w:tcPr>
            <w:tcW w:w="3646"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在海关特殊监管区域内设置跨境电商零售进口退货中心仓，将区外的分拣、退货流程转移至区内，实行退货中心仓场所硬件设施监管，海关对电商企业相关设施实地验核后准予备案，划定跨境电商退货车辆出入区指定路线。实行退货包裹出入区监管，实施卡口管理、物流监控管理、仓内卸货管理、复运出区管理。实行合格包裹上架监管，加强单证审核和查验管理。</w:t>
            </w:r>
          </w:p>
        </w:tc>
        <w:tc>
          <w:tcPr>
            <w:tcW w:w="1331"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海关总署、商务部</w:t>
            </w:r>
          </w:p>
        </w:tc>
        <w:tc>
          <w:tcPr>
            <w:tcW w:w="1202"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全国</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803" w:type="dxa"/>
            <w:tcBorders>
              <w:top w:val="nil"/>
              <w:left w:val="single" w:color="auto" w:sz="8" w:space="0"/>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21</w:t>
            </w:r>
          </w:p>
        </w:tc>
        <w:tc>
          <w:tcPr>
            <w:tcW w:w="2089"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海关公证电子送达系统</w:t>
            </w:r>
          </w:p>
        </w:tc>
        <w:tc>
          <w:tcPr>
            <w:tcW w:w="3646"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对不能当场作出行政处罚决定的海关案件，指引当事人快速完成电子送达地址信息采集。结案后，海关可通过海关公证电子送达平台或其他电子送达方式，将《处罚告知单》与《处罚决定书》等法律文书送达当事人，并全程电子存证。</w:t>
            </w:r>
          </w:p>
        </w:tc>
        <w:tc>
          <w:tcPr>
            <w:tcW w:w="1331"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海关总署、司法部</w:t>
            </w:r>
          </w:p>
        </w:tc>
        <w:tc>
          <w:tcPr>
            <w:tcW w:w="1202"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全国</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803" w:type="dxa"/>
            <w:tcBorders>
              <w:top w:val="nil"/>
              <w:left w:val="single" w:color="auto" w:sz="8" w:space="0"/>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22</w:t>
            </w:r>
          </w:p>
        </w:tc>
        <w:tc>
          <w:tcPr>
            <w:tcW w:w="2089"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出入境人员综合服务“一站式”平台</w:t>
            </w:r>
          </w:p>
        </w:tc>
        <w:tc>
          <w:tcPr>
            <w:tcW w:w="3646"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强化海关、移民、外事、科技等涉外部门协同，优化流程，为出入境人员证件办理、业务预约、在线申报等提供“一站式”综合服务平台。全面推进“一网通办”，提供邀请外国人来华、出入境体检、外国人工作证办理、居留证件查询、随行子女入学等政务办理功能，并为来华境外人员及中国公民提供疫苗预约和订制旅游等服务，实现政务、综合服务“一口通办”。</w:t>
            </w:r>
          </w:p>
        </w:tc>
        <w:tc>
          <w:tcPr>
            <w:tcW w:w="1331"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海关总署、国家移民局、外交部、科技部、国务院港澳办</w:t>
            </w:r>
          </w:p>
        </w:tc>
        <w:tc>
          <w:tcPr>
            <w:tcW w:w="1202"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全国</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803" w:type="dxa"/>
            <w:tcBorders>
              <w:top w:val="nil"/>
              <w:left w:val="single" w:color="auto" w:sz="8" w:space="0"/>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23</w:t>
            </w:r>
          </w:p>
        </w:tc>
        <w:tc>
          <w:tcPr>
            <w:tcW w:w="2089"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进出口商品智慧申报导航服务</w:t>
            </w:r>
          </w:p>
        </w:tc>
        <w:tc>
          <w:tcPr>
            <w:tcW w:w="3646"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使用大数据、人工智能领域新技术手段，建立智能申报导航数据库集群，在“单一窗口”申报端为企业纳税申报提供全面即时准确的个性化智能导航服务。导航服务过程中不涉及企业具体申报信息，确保数据使用安全。</w:t>
            </w:r>
          </w:p>
        </w:tc>
        <w:tc>
          <w:tcPr>
            <w:tcW w:w="1331"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海关总署</w:t>
            </w:r>
          </w:p>
        </w:tc>
        <w:tc>
          <w:tcPr>
            <w:tcW w:w="1202"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全国</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803" w:type="dxa"/>
            <w:tcBorders>
              <w:top w:val="nil"/>
              <w:left w:val="single" w:color="auto" w:sz="8" w:space="0"/>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24</w:t>
            </w:r>
          </w:p>
        </w:tc>
        <w:tc>
          <w:tcPr>
            <w:tcW w:w="2089"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冰鲜水产品两段准入监管模式</w:t>
            </w:r>
          </w:p>
        </w:tc>
        <w:tc>
          <w:tcPr>
            <w:tcW w:w="3646"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对海关一般信用及以上的冰鲜水产品进口企业实施“附条件提离”，企业出具书面承诺，海关抽样后口岸放行，利用检测绿色通道实施“合格入市”，企业无需等待检测结果即可向销售商配送，但不得上市销售。检测结果异常，主动召回；检测合格，立即上市。海关定期开展监控计划和食品安全管理核查，企业定期提交配送销售管理证明资料，海关抽查“附条件提离”落实情况，强化入市前风险监管。</w:t>
            </w:r>
          </w:p>
        </w:tc>
        <w:tc>
          <w:tcPr>
            <w:tcW w:w="1331"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海关总署</w:t>
            </w:r>
          </w:p>
        </w:tc>
        <w:tc>
          <w:tcPr>
            <w:tcW w:w="1202"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全国</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803" w:type="dxa"/>
            <w:tcBorders>
              <w:top w:val="nil"/>
              <w:left w:val="single" w:color="auto" w:sz="8" w:space="0"/>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25</w:t>
            </w:r>
          </w:p>
        </w:tc>
        <w:tc>
          <w:tcPr>
            <w:tcW w:w="2089"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货物贸易“一保多用”管理模式</w:t>
            </w:r>
          </w:p>
        </w:tc>
        <w:tc>
          <w:tcPr>
            <w:tcW w:w="3646"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整合进口货物风险类、税款类担保的管理流程和模式，构建以企业为单元的海关担保信息化管理模式，实现企业一份担保文本在不同业务领域、不同业务现场、不同担保事项间通用，担保额度自动核扣、返还以及担保风险智能防控，进一步降低企业资金成本，提升海关担保业务管理效能。</w:t>
            </w:r>
          </w:p>
        </w:tc>
        <w:tc>
          <w:tcPr>
            <w:tcW w:w="1331"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海关总署</w:t>
            </w:r>
          </w:p>
        </w:tc>
        <w:tc>
          <w:tcPr>
            <w:tcW w:w="1202"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全国</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803" w:type="dxa"/>
            <w:tcBorders>
              <w:top w:val="nil"/>
              <w:left w:val="single" w:color="auto" w:sz="8" w:space="0"/>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26</w:t>
            </w:r>
          </w:p>
        </w:tc>
        <w:tc>
          <w:tcPr>
            <w:tcW w:w="2089"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保税航煤出口质量流量计计量新模式</w:t>
            </w:r>
          </w:p>
        </w:tc>
        <w:tc>
          <w:tcPr>
            <w:tcW w:w="3646"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保税航煤出口计量方式由岸罐计重变更为质量流量计计量。将成品航煤通过专用管道输入机场出口监管罐后，再转至保税罐，实现出口检验工作与保税货物重量鉴定合二为一。</w:t>
            </w:r>
          </w:p>
        </w:tc>
        <w:tc>
          <w:tcPr>
            <w:tcW w:w="1331"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海关总署</w:t>
            </w:r>
          </w:p>
        </w:tc>
        <w:tc>
          <w:tcPr>
            <w:tcW w:w="1202"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保税监管场所</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803" w:type="dxa"/>
            <w:tcBorders>
              <w:top w:val="nil"/>
              <w:left w:val="single" w:color="auto" w:sz="8" w:space="0"/>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27</w:t>
            </w:r>
          </w:p>
        </w:tc>
        <w:tc>
          <w:tcPr>
            <w:tcW w:w="2089"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增值税小规模纳税人智能辅助申报服务</w:t>
            </w:r>
          </w:p>
        </w:tc>
        <w:tc>
          <w:tcPr>
            <w:tcW w:w="3646"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通过电子税务局向企业推送预申报数据，智能辅助增值税小规模纳税人便捷申报。</w:t>
            </w:r>
          </w:p>
        </w:tc>
        <w:tc>
          <w:tcPr>
            <w:tcW w:w="1331"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税务总局</w:t>
            </w:r>
          </w:p>
        </w:tc>
        <w:tc>
          <w:tcPr>
            <w:tcW w:w="1202"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全国</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803" w:type="dxa"/>
            <w:tcBorders>
              <w:top w:val="nil"/>
              <w:left w:val="single" w:color="auto" w:sz="8" w:space="0"/>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28</w:t>
            </w:r>
          </w:p>
        </w:tc>
        <w:tc>
          <w:tcPr>
            <w:tcW w:w="2089"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证照“一口受理、并联办理”审批服务模式</w:t>
            </w:r>
          </w:p>
        </w:tc>
        <w:tc>
          <w:tcPr>
            <w:tcW w:w="3646"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将企业设立联合审批涉及的市场监管、税务、公安、社保等多个部门的受理窗口整合为一个窗口，变“多头受理”为“一口受理”。企业按一份清单要求交齐材料即可申请营业执照和相关许可，实现“最多跑一次”。</w:t>
            </w:r>
          </w:p>
        </w:tc>
        <w:tc>
          <w:tcPr>
            <w:tcW w:w="1331"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市场监管总局</w:t>
            </w:r>
          </w:p>
        </w:tc>
        <w:tc>
          <w:tcPr>
            <w:tcW w:w="1202"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全国</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803" w:type="dxa"/>
            <w:tcBorders>
              <w:top w:val="nil"/>
              <w:left w:val="single" w:color="auto" w:sz="8" w:space="0"/>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29</w:t>
            </w:r>
          </w:p>
        </w:tc>
        <w:tc>
          <w:tcPr>
            <w:tcW w:w="2089"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企业“套餐式”注销服务模式</w:t>
            </w:r>
          </w:p>
        </w:tc>
        <w:tc>
          <w:tcPr>
            <w:tcW w:w="3646"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地方根据权限范围确定企业联合注销营业执照和许可证的清单，在国家企业信用信息公示系统等企业信息公示平台设置“套餐式”注销服务专区，实行“一窗受理、内部流转、并联审批”，企业经营范围涉及前置审批事项、终止有关业务需经批准的，可多项同步注销。</w:t>
            </w:r>
          </w:p>
        </w:tc>
        <w:tc>
          <w:tcPr>
            <w:tcW w:w="1331"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市场监管总局</w:t>
            </w:r>
          </w:p>
        </w:tc>
        <w:tc>
          <w:tcPr>
            <w:tcW w:w="1202"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全国</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803" w:type="dxa"/>
            <w:tcBorders>
              <w:top w:val="nil"/>
              <w:left w:val="single" w:color="auto" w:sz="8" w:space="0"/>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30</w:t>
            </w:r>
          </w:p>
        </w:tc>
        <w:tc>
          <w:tcPr>
            <w:tcW w:w="2089"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商事主体信用修复制度</w:t>
            </w:r>
          </w:p>
        </w:tc>
        <w:tc>
          <w:tcPr>
            <w:tcW w:w="3646"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企业自被列入严重违法失信企业名单之日满</w:t>
            </w:r>
            <w:r>
              <w:rPr>
                <w:rFonts w:hint="default" w:ascii="Calibri" w:hAnsi="Calibri" w:eastAsia="宋体" w:cs="Calibri"/>
                <w:kern w:val="0"/>
                <w:sz w:val="20"/>
                <w:szCs w:val="20"/>
                <w:bdr w:val="none" w:color="auto" w:sz="0" w:space="0"/>
                <w:lang w:val="en-US" w:eastAsia="zh-CN" w:bidi="ar"/>
              </w:rPr>
              <w:t>3</w:t>
            </w:r>
            <w:r>
              <w:rPr>
                <w:rFonts w:hint="eastAsia" w:ascii="宋体" w:hAnsi="宋体" w:eastAsia="宋体" w:cs="宋体"/>
                <w:kern w:val="0"/>
                <w:sz w:val="20"/>
                <w:szCs w:val="20"/>
                <w:bdr w:val="none" w:color="auto" w:sz="0" w:space="0"/>
                <w:lang w:val="en-US" w:eastAsia="zh-CN" w:bidi="ar"/>
              </w:rPr>
              <w:t>年，未再发生相关情形的，可通过国家企业信用信息公示系统发布其信用修复公告，公告期</w:t>
            </w:r>
            <w:r>
              <w:rPr>
                <w:rFonts w:hint="default" w:ascii="Calibri" w:hAnsi="Calibri" w:eastAsia="宋体" w:cs="Calibri"/>
                <w:kern w:val="0"/>
                <w:sz w:val="20"/>
                <w:szCs w:val="20"/>
                <w:bdr w:val="none" w:color="auto" w:sz="0" w:space="0"/>
                <w:lang w:val="en-US" w:eastAsia="zh-CN" w:bidi="ar"/>
              </w:rPr>
              <w:t>30</w:t>
            </w:r>
            <w:r>
              <w:rPr>
                <w:rFonts w:hint="eastAsia" w:ascii="宋体" w:hAnsi="宋体" w:eastAsia="宋体" w:cs="宋体"/>
                <w:kern w:val="0"/>
                <w:sz w:val="20"/>
                <w:szCs w:val="20"/>
                <w:bdr w:val="none" w:color="auto" w:sz="0" w:space="0"/>
                <w:lang w:val="en-US" w:eastAsia="zh-CN" w:bidi="ar"/>
              </w:rPr>
              <w:t>日。登记机关将信用修复情况作为商事主体从严重违法失信企业名单移出的重要条件。</w:t>
            </w:r>
          </w:p>
        </w:tc>
        <w:tc>
          <w:tcPr>
            <w:tcW w:w="1331"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市场监管总局</w:t>
            </w:r>
          </w:p>
        </w:tc>
        <w:tc>
          <w:tcPr>
            <w:tcW w:w="1202"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全国</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803" w:type="dxa"/>
            <w:tcBorders>
              <w:top w:val="nil"/>
              <w:left w:val="single" w:color="auto" w:sz="8" w:space="0"/>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31</w:t>
            </w:r>
          </w:p>
        </w:tc>
        <w:tc>
          <w:tcPr>
            <w:tcW w:w="2089"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股权转让登记远程确认服务</w:t>
            </w:r>
          </w:p>
        </w:tc>
        <w:tc>
          <w:tcPr>
            <w:tcW w:w="3646"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服务对象可依托企业登记信息远程核实系统，经人脸识别技术核准，并通过视频进行基本信息查询及意思表示确认后，依法办理股权转让登记。</w:t>
            </w:r>
          </w:p>
        </w:tc>
        <w:tc>
          <w:tcPr>
            <w:tcW w:w="1331"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市场监管总局</w:t>
            </w:r>
          </w:p>
        </w:tc>
        <w:tc>
          <w:tcPr>
            <w:tcW w:w="1202"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自贸试验区</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803" w:type="dxa"/>
            <w:tcBorders>
              <w:top w:val="nil"/>
              <w:left w:val="single" w:color="auto" w:sz="8" w:space="0"/>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32</w:t>
            </w:r>
          </w:p>
        </w:tc>
        <w:tc>
          <w:tcPr>
            <w:tcW w:w="2089"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融资租赁公司风险防控大数据平台</w:t>
            </w:r>
          </w:p>
        </w:tc>
        <w:tc>
          <w:tcPr>
            <w:tcW w:w="3646"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对申请设立融资租赁公司的，利用大数据平台信息与所提交材料进行比对，识别评估风险，将异常情况转至相关部门认定、处理。对已设立的融资租赁公司，通过平台定期对接监管、公检法及互联网等信息，进行风险动态评估监测。将通过平台对比、分析形成的需重点关注企业名单，及时与相关部门共享，以采取针对性措施。</w:t>
            </w:r>
          </w:p>
        </w:tc>
        <w:tc>
          <w:tcPr>
            <w:tcW w:w="1331"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银保监会</w:t>
            </w:r>
          </w:p>
        </w:tc>
        <w:tc>
          <w:tcPr>
            <w:tcW w:w="1202"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全国</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803" w:type="dxa"/>
            <w:tcBorders>
              <w:top w:val="nil"/>
              <w:left w:val="single" w:color="auto" w:sz="8" w:space="0"/>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33</w:t>
            </w:r>
          </w:p>
        </w:tc>
        <w:tc>
          <w:tcPr>
            <w:tcW w:w="2089"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边检行政许可网上办理</w:t>
            </w:r>
          </w:p>
        </w:tc>
        <w:tc>
          <w:tcPr>
            <w:tcW w:w="3646"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设立边检行政许可网上办理窗口，实现上下外国船舶许可、搭靠外轮许可的在线申请、审批、签发。个人和企业用户可通过互联网客户端等渠道，申请办理人员登轮、船舶搭靠等边检许可证件。</w:t>
            </w:r>
          </w:p>
        </w:tc>
        <w:tc>
          <w:tcPr>
            <w:tcW w:w="1331"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国家移民局</w:t>
            </w:r>
          </w:p>
        </w:tc>
        <w:tc>
          <w:tcPr>
            <w:tcW w:w="1202"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全国</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803" w:type="dxa"/>
            <w:tcBorders>
              <w:top w:val="nil"/>
              <w:left w:val="single" w:color="auto" w:sz="8" w:space="0"/>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34</w:t>
            </w:r>
          </w:p>
        </w:tc>
        <w:tc>
          <w:tcPr>
            <w:tcW w:w="2089"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野生动植物进出口行政许可审批事项改革</w:t>
            </w:r>
          </w:p>
        </w:tc>
        <w:tc>
          <w:tcPr>
            <w:tcW w:w="3646"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将国家林草局实施的野生动植物行政许可审批事项、国家濒危物种进出口管理办公室实施的允许进出口证明书行政许可事项委托自贸试验区所在地的省级林草主管部门和国家濒管办办事处办理，优化审批流程，压缩审批时限。</w:t>
            </w:r>
          </w:p>
        </w:tc>
        <w:tc>
          <w:tcPr>
            <w:tcW w:w="1331"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国家林草局</w:t>
            </w:r>
          </w:p>
        </w:tc>
        <w:tc>
          <w:tcPr>
            <w:tcW w:w="1202"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自贸试验区</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803" w:type="dxa"/>
            <w:tcBorders>
              <w:top w:val="nil"/>
              <w:left w:val="single" w:color="auto" w:sz="8" w:space="0"/>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35</w:t>
            </w:r>
          </w:p>
        </w:tc>
        <w:tc>
          <w:tcPr>
            <w:tcW w:w="2089"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大型机场运行协调新机制</w:t>
            </w:r>
          </w:p>
        </w:tc>
        <w:tc>
          <w:tcPr>
            <w:tcW w:w="3646"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建立以机场运管委为组织机构、联合运控中心为运行载体、机场协同决策（</w:t>
            </w:r>
            <w:r>
              <w:rPr>
                <w:rFonts w:hint="default" w:ascii="Calibri" w:hAnsi="Calibri" w:eastAsia="宋体" w:cs="Calibri"/>
                <w:kern w:val="0"/>
                <w:sz w:val="20"/>
                <w:szCs w:val="20"/>
                <w:bdr w:val="none" w:color="auto" w:sz="0" w:space="0"/>
                <w:lang w:val="en-US" w:eastAsia="zh-CN" w:bidi="ar"/>
              </w:rPr>
              <w:t>A</w:t>
            </w:r>
            <w:r>
              <w:rPr>
                <w:rFonts w:hint="eastAsia" w:ascii="宋体" w:hAnsi="宋体" w:eastAsia="宋体" w:cs="宋体"/>
                <w:kern w:val="0"/>
                <w:sz w:val="20"/>
                <w:szCs w:val="20"/>
                <w:bdr w:val="none" w:color="auto" w:sz="0" w:space="0"/>
                <w:lang w:val="en-US" w:eastAsia="zh-CN" w:bidi="ar"/>
              </w:rPr>
              <w:t>—</w:t>
            </w:r>
            <w:r>
              <w:rPr>
                <w:rFonts w:hint="default" w:ascii="Calibri" w:hAnsi="Calibri" w:eastAsia="宋体" w:cs="Calibri"/>
                <w:kern w:val="0"/>
                <w:sz w:val="20"/>
                <w:szCs w:val="20"/>
                <w:bdr w:val="none" w:color="auto" w:sz="0" w:space="0"/>
                <w:lang w:val="en-US" w:eastAsia="zh-CN" w:bidi="ar"/>
              </w:rPr>
              <w:t>CDM</w:t>
            </w:r>
            <w:r>
              <w:rPr>
                <w:rFonts w:hint="eastAsia" w:ascii="宋体" w:hAnsi="宋体" w:eastAsia="宋体" w:cs="宋体"/>
                <w:kern w:val="0"/>
                <w:sz w:val="20"/>
                <w:szCs w:val="20"/>
                <w:bdr w:val="none" w:color="auto" w:sz="0" w:space="0"/>
                <w:lang w:val="en-US" w:eastAsia="zh-CN" w:bidi="ar"/>
              </w:rPr>
              <w:t>）系统为平台支撑的协同运行体系，实现从管理框架向管理体系的转变，提升大型机场整体运行协调能力。</w:t>
            </w:r>
          </w:p>
        </w:tc>
        <w:tc>
          <w:tcPr>
            <w:tcW w:w="1331"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中国民航局</w:t>
            </w:r>
          </w:p>
        </w:tc>
        <w:tc>
          <w:tcPr>
            <w:tcW w:w="1202"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全国</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803" w:type="dxa"/>
            <w:tcBorders>
              <w:top w:val="nil"/>
              <w:left w:val="single" w:color="auto" w:sz="8" w:space="0"/>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36</w:t>
            </w:r>
          </w:p>
        </w:tc>
        <w:tc>
          <w:tcPr>
            <w:tcW w:w="2089"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医疗器械注册人委托生产模式</w:t>
            </w:r>
          </w:p>
        </w:tc>
        <w:tc>
          <w:tcPr>
            <w:tcW w:w="3646"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医疗器械注册人除自行生产产品外，可委托具备相应生产条件的企业生产产品。</w:t>
            </w:r>
          </w:p>
        </w:tc>
        <w:tc>
          <w:tcPr>
            <w:tcW w:w="1331"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国家药监局</w:t>
            </w:r>
          </w:p>
        </w:tc>
        <w:tc>
          <w:tcPr>
            <w:tcW w:w="1202"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全国</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803" w:type="dxa"/>
            <w:tcBorders>
              <w:top w:val="nil"/>
              <w:left w:val="single" w:color="auto" w:sz="8" w:space="0"/>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37</w:t>
            </w:r>
          </w:p>
        </w:tc>
        <w:tc>
          <w:tcPr>
            <w:tcW w:w="2089"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知识产权证券化</w:t>
            </w:r>
          </w:p>
        </w:tc>
        <w:tc>
          <w:tcPr>
            <w:tcW w:w="3646"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left"/>
            </w:pPr>
            <w:r>
              <w:rPr>
                <w:rFonts w:hint="eastAsia" w:ascii="宋体" w:hAnsi="宋体" w:eastAsia="宋体" w:cs="宋体"/>
                <w:kern w:val="0"/>
                <w:sz w:val="20"/>
                <w:szCs w:val="20"/>
                <w:bdr w:val="none" w:color="auto" w:sz="0" w:space="0"/>
                <w:lang w:val="en-US" w:eastAsia="zh-CN" w:bidi="ar"/>
              </w:rPr>
              <w:t>依托上海、深圳证券交易所构建知识产权证券化交易体系。根据知识产权数量、公司资产规模、利润水平、行业领先度等因素选取标的企业。对基础资产现金流的质量、稳定性、权属状况严格把关，试行将知识产权相关债权资产实现真实出售。</w:t>
            </w:r>
          </w:p>
        </w:tc>
        <w:tc>
          <w:tcPr>
            <w:tcW w:w="1331"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国家知识产权局、证监会、银保监会、国家版权局</w:t>
            </w:r>
          </w:p>
        </w:tc>
        <w:tc>
          <w:tcPr>
            <w:tcW w:w="1202" w:type="dxa"/>
            <w:tcBorders>
              <w:top w:val="nil"/>
              <w:left w:val="nil"/>
              <w:bottom w:val="single" w:color="auto" w:sz="8" w:space="0"/>
              <w:right w:val="single" w:color="auto" w:sz="8" w:space="0"/>
            </w:tcBorders>
            <w:shd w:val="clear"/>
            <w:tcMar>
              <w:left w:w="108" w:type="dxa"/>
              <w:right w:w="108"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ind w:left="0" w:right="0"/>
              <w:jc w:val="center"/>
            </w:pPr>
            <w:r>
              <w:rPr>
                <w:rFonts w:hint="eastAsia" w:ascii="宋体" w:hAnsi="宋体" w:eastAsia="宋体" w:cs="宋体"/>
                <w:kern w:val="0"/>
                <w:sz w:val="20"/>
                <w:szCs w:val="20"/>
                <w:bdr w:val="none" w:color="auto" w:sz="0" w:space="0"/>
                <w:lang w:val="en-US" w:eastAsia="zh-CN" w:bidi="ar"/>
              </w:rPr>
              <w:t>全国</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CC177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Office_11.8.2.8621_F1E327BC-269C-435d-A152-05C5408002CA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2021-08-05T01:15:48Z</dcterms:created>
  <dc:creator>lenovo</dc:creator>
  <cp:lastModifiedBy>426</cp:lastModifiedBy>
  <dcterms:modified xsi:type="dcterms:W3CDTF">2021-08-05T01:16:26Z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2052-11.8.2.8621</vt:lpwstr>
  </property>
</Properties>
</file>