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line="60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b w:val="0"/>
          <w:bCs w:val="0"/>
          <w:color w:val="auto"/>
          <w:spacing w:val="0"/>
          <w:sz w:val="44"/>
          <w:szCs w:val="44"/>
          <w:lang w:eastAsia="zh-CN"/>
        </w:rPr>
      </w:pPr>
      <w:bookmarkStart w:id="0" w:name="_GoBack"/>
      <w:bookmarkEnd w:id="0"/>
      <w:r>
        <w:rPr>
          <w:rFonts w:hint="eastAsia" w:ascii="方正小标宋简体" w:hAnsi="方正小标宋简体" w:eastAsia="方正小标宋简体" w:cs="方正小标宋简体"/>
          <w:b w:val="0"/>
          <w:bCs w:val="0"/>
          <w:color w:val="auto"/>
          <w:spacing w:val="0"/>
          <w:sz w:val="44"/>
          <w:szCs w:val="44"/>
          <w:lang w:eastAsia="zh-CN"/>
        </w:rPr>
        <w:t>陕西省人民政府办公厅</w:t>
      </w:r>
    </w:p>
    <w:p>
      <w:pPr>
        <w:keepNext w:val="0"/>
        <w:keepLines w:val="0"/>
        <w:pageBreakBefore w:val="0"/>
        <w:widowControl/>
        <w:kinsoku/>
        <w:wordWrap/>
        <w:overflowPunct/>
        <w:topLinePunct w:val="0"/>
        <w:autoSpaceDE/>
        <w:autoSpaceDN/>
        <w:bidi w:val="0"/>
        <w:adjustRightInd/>
        <w:snapToGrid/>
        <w:spacing w:line="60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b w:val="0"/>
          <w:bCs w:val="0"/>
          <w:color w:val="auto"/>
          <w:spacing w:val="0"/>
          <w:sz w:val="44"/>
          <w:szCs w:val="44"/>
          <w:lang w:eastAsia="zh-CN"/>
        </w:rPr>
      </w:pPr>
      <w:r>
        <w:rPr>
          <w:rFonts w:hint="eastAsia" w:ascii="方正小标宋简体" w:hAnsi="方正小标宋简体" w:eastAsia="方正小标宋简体" w:cs="方正小标宋简体"/>
          <w:b w:val="0"/>
          <w:bCs w:val="0"/>
          <w:color w:val="auto"/>
          <w:spacing w:val="0"/>
          <w:sz w:val="44"/>
          <w:szCs w:val="44"/>
          <w:lang w:eastAsia="zh-CN"/>
        </w:rPr>
        <w:t>关于复制推广陕西自由贸易试验区第三批</w:t>
      </w:r>
    </w:p>
    <w:p>
      <w:pPr>
        <w:keepNext w:val="0"/>
        <w:keepLines w:val="0"/>
        <w:pageBreakBefore w:val="0"/>
        <w:widowControl/>
        <w:kinsoku/>
        <w:wordWrap/>
        <w:overflowPunct/>
        <w:topLinePunct w:val="0"/>
        <w:autoSpaceDE/>
        <w:autoSpaceDN/>
        <w:bidi w:val="0"/>
        <w:adjustRightInd/>
        <w:snapToGrid/>
        <w:spacing w:line="60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b w:val="0"/>
          <w:bCs w:val="0"/>
          <w:color w:val="auto"/>
          <w:spacing w:val="0"/>
          <w:sz w:val="44"/>
          <w:szCs w:val="44"/>
          <w:lang w:eastAsia="zh-CN"/>
        </w:rPr>
      </w:pPr>
      <w:r>
        <w:rPr>
          <w:rFonts w:hint="eastAsia" w:ascii="方正小标宋简体" w:hAnsi="方正小标宋简体" w:eastAsia="方正小标宋简体" w:cs="方正小标宋简体"/>
          <w:b w:val="0"/>
          <w:bCs w:val="0"/>
          <w:color w:val="auto"/>
          <w:spacing w:val="0"/>
          <w:sz w:val="44"/>
          <w:szCs w:val="44"/>
          <w:lang w:eastAsia="zh-CN"/>
        </w:rPr>
        <w:t>改革创新成果的通知</w:t>
      </w:r>
    </w:p>
    <w:p>
      <w:pPr>
        <w:pStyle w:val="4"/>
        <w:spacing w:line="560" w:lineRule="exact"/>
        <w:jc w:val="both"/>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各设区市人民政府，省人民政府各工作部门、各直属机构：</w:t>
      </w:r>
    </w:p>
    <w:p>
      <w:pPr>
        <w:pStyle w:val="4"/>
        <w:spacing w:line="560" w:lineRule="exact"/>
        <w:ind w:leftChars="57" w:firstLine="640" w:firstLineChars="200"/>
        <w:jc w:val="both"/>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2020年以来，陕西自贸试验区各片区所在市（区）和省级有关部门紧密结合我省自贸试验区功能定位，坚持问题导向、市场导向，围绕加快政府职能转变、提高贸易便利化水平、推进金融开放创新和加大人文交流等工作进行了大胆实践探索，形成自贸试验区第三批改革创新成果，经陕西自贸试验区工作领导小组审议，并报省政府同意，确定在全省范围内复制推广。现就有关事项通知如下：</w:t>
      </w:r>
    </w:p>
    <w:p>
      <w:pPr>
        <w:spacing w:line="560" w:lineRule="exact"/>
        <w:ind w:firstLine="640" w:firstLineChars="200"/>
        <w:rPr>
          <w:rStyle w:val="11"/>
          <w:rFonts w:hint="eastAsia" w:ascii="黑体" w:hAnsi="黑体" w:eastAsia="黑体" w:cs="黑体"/>
          <w:b w:val="0"/>
          <w:bCs/>
          <w:kern w:val="0"/>
          <w:sz w:val="32"/>
          <w:szCs w:val="32"/>
          <w:lang w:bidi="ar"/>
        </w:rPr>
      </w:pPr>
      <w:r>
        <w:rPr>
          <w:rStyle w:val="11"/>
          <w:rFonts w:hint="eastAsia" w:ascii="黑体" w:hAnsi="黑体" w:eastAsia="黑体" w:cs="黑体"/>
          <w:b w:val="0"/>
          <w:bCs/>
          <w:kern w:val="0"/>
          <w:sz w:val="32"/>
          <w:szCs w:val="32"/>
          <w:lang w:bidi="ar"/>
        </w:rPr>
        <w:t>一、高度重视复制推广工作</w:t>
      </w:r>
    </w:p>
    <w:p>
      <w:pPr>
        <w:pStyle w:val="4"/>
        <w:spacing w:line="560" w:lineRule="exact"/>
        <w:ind w:leftChars="57" w:firstLine="640" w:firstLineChars="200"/>
        <w:jc w:val="both"/>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建设自贸试验区是党中央在新时代推进改革开放的重要战略举措，承担着为全面深化改革和扩大开放探索新途径、积累新经验的重要使命。陕西自贸试验区设立三年来，坚持把制度创新作为核心任务，把可复制、可推广作为基本要求，在行政审批、投资、贸易、金融等方面大胆试、大胆闯、自主改，试点任务成果丰硕。复制推广自贸试验区改革创新成果，有利于更好地优化营商环境、激发市场活力、加快外贸外资发展，对推动我省全方位高水平开放、促进经济高质量发展具有积极作用。各市（区）、各部门要认真贯彻落实党中央、国务院决策部署和省委、省政府工作要求，切实做好自贸试验区改革创新成果的复制推广工作，不断深化改革、扩大开放，着力破解陕西开放不足的突出短板，推动形成以国内大循环为主体、国内国际双循环相互促进的新发展格局。</w:t>
      </w:r>
    </w:p>
    <w:p>
      <w:pPr>
        <w:spacing w:line="560" w:lineRule="exact"/>
        <w:ind w:firstLine="640" w:firstLineChars="200"/>
        <w:rPr>
          <w:rStyle w:val="11"/>
          <w:rFonts w:hint="eastAsia" w:ascii="黑体" w:hAnsi="黑体" w:eastAsia="黑体" w:cs="黑体"/>
          <w:b w:val="0"/>
          <w:bCs/>
          <w:kern w:val="0"/>
          <w:sz w:val="32"/>
          <w:szCs w:val="32"/>
          <w:lang w:bidi="ar"/>
        </w:rPr>
      </w:pPr>
      <w:r>
        <w:rPr>
          <w:rStyle w:val="11"/>
          <w:rFonts w:hint="eastAsia" w:ascii="黑体" w:hAnsi="黑体" w:eastAsia="黑体" w:cs="黑体"/>
          <w:b w:val="0"/>
          <w:bCs/>
          <w:kern w:val="0"/>
          <w:sz w:val="32"/>
          <w:szCs w:val="32"/>
          <w:lang w:bidi="ar"/>
        </w:rPr>
        <w:t>二、复制推广的主要内容</w:t>
      </w:r>
    </w:p>
    <w:p>
      <w:pPr>
        <w:spacing w:line="560" w:lineRule="exact"/>
        <w:rPr>
          <w:rFonts w:hint="eastAsia" w:ascii="楷体_GB2312" w:hAnsi="楷体_GB2312" w:eastAsia="楷体_GB2312" w:cs="楷体_GB2312"/>
          <w:kern w:val="0"/>
          <w:sz w:val="32"/>
          <w:szCs w:val="32"/>
          <w:lang w:bidi="ar"/>
        </w:rPr>
      </w:pPr>
      <w:r>
        <w:rPr>
          <w:rFonts w:hint="eastAsia" w:ascii="楷体_GB2312" w:hAnsi="楷体_GB2312" w:eastAsia="楷体_GB2312" w:cs="楷体_GB2312"/>
          <w:kern w:val="0"/>
          <w:sz w:val="32"/>
          <w:szCs w:val="32"/>
          <w:lang w:bidi="ar"/>
        </w:rPr>
        <w:t xml:space="preserve">    （一）在全省复制推广的改革创新成果（14项）。</w:t>
      </w:r>
    </w:p>
    <w:p>
      <w:pPr>
        <w:spacing w:line="560" w:lineRule="exact"/>
        <w:ind w:firstLine="640" w:firstLineChars="200"/>
        <w:rPr>
          <w:rStyle w:val="11"/>
          <w:rFonts w:hint="eastAsia" w:ascii="仿宋_GB2312" w:hAnsi="仿宋_GB2312" w:eastAsia="仿宋_GB2312" w:cs="仿宋_GB2312"/>
          <w:b w:val="0"/>
          <w:kern w:val="0"/>
          <w:sz w:val="32"/>
          <w:szCs w:val="32"/>
          <w:lang w:bidi="ar"/>
        </w:rPr>
      </w:pPr>
      <w:r>
        <w:rPr>
          <w:rStyle w:val="11"/>
          <w:rFonts w:hint="eastAsia" w:ascii="仿宋_GB2312" w:hAnsi="仿宋_GB2312" w:eastAsia="仿宋_GB2312" w:cs="仿宋_GB2312"/>
          <w:b w:val="0"/>
          <w:kern w:val="0"/>
          <w:sz w:val="32"/>
          <w:szCs w:val="32"/>
          <w:lang w:bidi="ar"/>
        </w:rPr>
        <w:t>1.政府职能转变领域（8项）：“套餐式”审批服务模式、政务服务跨区通办、“水电气暖”综合窗口集成服务、药品“多证合一”、工业互联网管理平台、政务服务全程电子化改革、“三服四化”便民服务改革、全球云端零工创客共享服务平台。</w:t>
      </w:r>
    </w:p>
    <w:p>
      <w:pPr>
        <w:spacing w:line="560" w:lineRule="exact"/>
        <w:ind w:firstLine="640" w:firstLineChars="200"/>
        <w:rPr>
          <w:rStyle w:val="11"/>
          <w:rFonts w:hint="eastAsia" w:ascii="仿宋_GB2312" w:hAnsi="仿宋_GB2312" w:eastAsia="仿宋_GB2312" w:cs="仿宋_GB2312"/>
          <w:b w:val="0"/>
          <w:kern w:val="0"/>
          <w:sz w:val="32"/>
          <w:szCs w:val="32"/>
          <w:lang w:bidi="ar"/>
        </w:rPr>
      </w:pPr>
      <w:r>
        <w:rPr>
          <w:rStyle w:val="11"/>
          <w:rFonts w:hint="eastAsia" w:ascii="仿宋_GB2312" w:hAnsi="仿宋_GB2312" w:eastAsia="仿宋_GB2312" w:cs="仿宋_GB2312"/>
          <w:b w:val="0"/>
          <w:kern w:val="0"/>
          <w:sz w:val="32"/>
          <w:szCs w:val="32"/>
          <w:lang w:bidi="ar"/>
        </w:rPr>
        <w:t>2.贸易便利化领域（4项）：能源类特色供应链合作平台、云端会展服务新模式、“一带一路”外经贸综合服务平台、线上贸易云服务模式。</w:t>
      </w:r>
    </w:p>
    <w:p>
      <w:pPr>
        <w:spacing w:line="560" w:lineRule="exact"/>
        <w:ind w:firstLine="640" w:firstLineChars="200"/>
        <w:rPr>
          <w:rStyle w:val="11"/>
          <w:rFonts w:hint="eastAsia" w:ascii="仿宋_GB2312" w:hAnsi="仿宋_GB2312" w:eastAsia="仿宋_GB2312" w:cs="仿宋_GB2312"/>
          <w:b w:val="0"/>
          <w:kern w:val="0"/>
          <w:sz w:val="32"/>
          <w:szCs w:val="32"/>
          <w:lang w:bidi="ar"/>
        </w:rPr>
      </w:pPr>
      <w:r>
        <w:rPr>
          <w:rStyle w:val="11"/>
          <w:rFonts w:hint="eastAsia" w:ascii="仿宋_GB2312" w:hAnsi="仿宋_GB2312" w:eastAsia="仿宋_GB2312" w:cs="仿宋_GB2312"/>
          <w:b w:val="0"/>
          <w:kern w:val="0"/>
          <w:sz w:val="32"/>
          <w:szCs w:val="32"/>
          <w:lang w:bidi="ar"/>
        </w:rPr>
        <w:t>3.金融服务领域（1项）：农业生物资产动态估值浮动抵押贷款。</w:t>
      </w:r>
    </w:p>
    <w:p>
      <w:pPr>
        <w:spacing w:line="560" w:lineRule="exact"/>
        <w:ind w:firstLine="640" w:firstLineChars="200"/>
        <w:rPr>
          <w:rStyle w:val="11"/>
          <w:rFonts w:hint="eastAsia" w:ascii="仿宋_GB2312" w:hAnsi="仿宋_GB2312" w:eastAsia="仿宋_GB2312" w:cs="仿宋_GB2312"/>
          <w:b w:val="0"/>
          <w:kern w:val="0"/>
          <w:sz w:val="32"/>
          <w:szCs w:val="32"/>
          <w:lang w:bidi="ar"/>
        </w:rPr>
      </w:pPr>
      <w:r>
        <w:rPr>
          <w:rStyle w:val="11"/>
          <w:rFonts w:hint="eastAsia" w:ascii="仿宋_GB2312" w:hAnsi="仿宋_GB2312" w:eastAsia="仿宋_GB2312" w:cs="仿宋_GB2312"/>
          <w:b w:val="0"/>
          <w:kern w:val="0"/>
          <w:sz w:val="32"/>
          <w:szCs w:val="32"/>
          <w:lang w:bidi="ar"/>
        </w:rPr>
        <w:t>4.人文交流领域（1项）：“一带一路”法律服务创新中心。</w:t>
      </w:r>
    </w:p>
    <w:p>
      <w:pPr>
        <w:spacing w:line="560" w:lineRule="exact"/>
        <w:ind w:firstLine="640" w:firstLineChars="200"/>
        <w:rPr>
          <w:rFonts w:ascii="楷体_GB2312" w:hAnsi="楷体_GB2312" w:eastAsia="楷体_GB2312" w:cs="楷体_GB2312"/>
          <w:kern w:val="0"/>
          <w:sz w:val="32"/>
          <w:szCs w:val="32"/>
          <w:lang w:bidi="ar"/>
        </w:rPr>
      </w:pPr>
      <w:r>
        <w:rPr>
          <w:rFonts w:hint="eastAsia" w:ascii="楷体_GB2312" w:hAnsi="楷体_GB2312" w:eastAsia="楷体_GB2312" w:cs="楷体_GB2312"/>
          <w:kern w:val="0"/>
          <w:sz w:val="32"/>
          <w:szCs w:val="32"/>
          <w:lang w:bidi="ar"/>
        </w:rPr>
        <w:t>（二）在省内指定区域复制推广的改革创新成果（16项）。</w:t>
      </w:r>
    </w:p>
    <w:p>
      <w:pPr>
        <w:pStyle w:val="4"/>
        <w:spacing w:line="560" w:lineRule="exact"/>
        <w:ind w:leftChars="57" w:firstLine="640" w:firstLineChars="200"/>
        <w:jc w:val="both"/>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1.海关特殊监管区（</w:t>
      </w:r>
      <w:r>
        <w:rPr>
          <w:rFonts w:hint="eastAsia"/>
          <w:sz w:val="32"/>
          <w:szCs w:val="32"/>
        </w:rPr>
        <w:t>4项</w:t>
      </w:r>
      <w:r>
        <w:rPr>
          <w:rFonts w:hint="eastAsia" w:ascii="仿宋_GB2312" w:hAnsi="仿宋_GB2312" w:eastAsia="仿宋_GB2312" w:cs="仿宋_GB2312"/>
          <w:sz w:val="32"/>
          <w:szCs w:val="32"/>
          <w:lang w:eastAsia="zh-CN"/>
        </w:rPr>
        <w:t>）：</w:t>
      </w:r>
      <w:r>
        <w:rPr>
          <w:rFonts w:hint="eastAsia"/>
          <w:sz w:val="32"/>
          <w:szCs w:val="32"/>
        </w:rPr>
        <w:t>进口快件智慧监管模式、加工贸易“云核销”监管新模式、海关出境危险货物包装监管新模式、保税仓库“一仓多用”。</w:t>
      </w:r>
    </w:p>
    <w:p>
      <w:pPr>
        <w:pStyle w:val="4"/>
        <w:spacing w:line="560" w:lineRule="exact"/>
        <w:ind w:leftChars="57" w:firstLine="640" w:firstLineChars="200"/>
        <w:jc w:val="both"/>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2.自贸试验区（9项）：“交房即交证”改革、</w:t>
      </w:r>
      <w:r>
        <w:rPr>
          <w:rFonts w:hint="eastAsia"/>
          <w:sz w:val="32"/>
          <w:szCs w:val="32"/>
        </w:rPr>
        <w:t>创新旅行社质量保证金缴纳方式、跨境电商网购保税进口商品监管新模式、“融资租赁+商业保理”融资新模式、“银—保”合作机制、信用保理融资新模式、跨境票据通、国际保理美元融资新模式、普通合伙律师事务所制度改革。</w:t>
      </w:r>
    </w:p>
    <w:p>
      <w:pPr>
        <w:pStyle w:val="4"/>
        <w:spacing w:line="560" w:lineRule="exact"/>
        <w:ind w:leftChars="57" w:firstLine="640" w:firstLineChars="200"/>
        <w:jc w:val="both"/>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3.协同创新区（3项）：工程建设项目行政审批中介超市、以租代建新模式、土地信息公示制度</w:t>
      </w:r>
      <w:r>
        <w:rPr>
          <w:rFonts w:hint="eastAsia"/>
          <w:sz w:val="32"/>
          <w:szCs w:val="32"/>
        </w:rPr>
        <w:t>。</w:t>
      </w:r>
    </w:p>
    <w:p>
      <w:pPr>
        <w:spacing w:line="560" w:lineRule="exact"/>
        <w:ind w:firstLine="640" w:firstLineChars="200"/>
        <w:rPr>
          <w:rStyle w:val="11"/>
          <w:rFonts w:hint="eastAsia" w:ascii="黑体" w:hAnsi="黑体" w:eastAsia="黑体" w:cs="黑体"/>
          <w:b w:val="0"/>
          <w:bCs/>
          <w:kern w:val="0"/>
          <w:sz w:val="32"/>
          <w:szCs w:val="32"/>
          <w:lang w:bidi="ar"/>
        </w:rPr>
      </w:pPr>
      <w:r>
        <w:rPr>
          <w:rStyle w:val="11"/>
          <w:rFonts w:hint="eastAsia" w:ascii="黑体" w:hAnsi="黑体" w:eastAsia="黑体" w:cs="黑体"/>
          <w:b w:val="0"/>
          <w:bCs/>
          <w:kern w:val="0"/>
          <w:sz w:val="32"/>
          <w:szCs w:val="32"/>
          <w:lang w:bidi="ar"/>
        </w:rPr>
        <w:t>三、认真做好组织实施</w:t>
      </w:r>
    </w:p>
    <w:p>
      <w:pPr>
        <w:spacing w:line="560" w:lineRule="exact"/>
        <w:ind w:firstLine="640" w:firstLineChars="200"/>
        <w:rPr>
          <w:rStyle w:val="11"/>
          <w:rFonts w:hint="eastAsia" w:ascii="仿宋_GB2312" w:hAnsi="仿宋_GB2312" w:eastAsia="仿宋_GB2312" w:cs="仿宋_GB2312"/>
          <w:b w:val="0"/>
          <w:bCs/>
          <w:kern w:val="0"/>
          <w:sz w:val="32"/>
          <w:szCs w:val="32"/>
          <w:lang w:val="zh-CN" w:bidi="ar"/>
        </w:rPr>
      </w:pPr>
      <w:r>
        <w:rPr>
          <w:rStyle w:val="11"/>
          <w:rFonts w:hint="eastAsia" w:ascii="仿宋_GB2312" w:hAnsi="仿宋_GB2312" w:eastAsia="仿宋_GB2312" w:cs="仿宋_GB2312"/>
          <w:b w:val="0"/>
          <w:bCs/>
          <w:kern w:val="0"/>
          <w:sz w:val="32"/>
          <w:szCs w:val="32"/>
          <w:lang w:val="zh-CN" w:bidi="ar"/>
        </w:rPr>
        <w:t>各市（区）人民政府（管委会）要将自贸试验区改革创新成果复制推广工作列入本地区重点工作，加强组织领导，加大实施力度，确保复制推广工作顺利推进，制度创新成果落地生根、取得实效。各牵头部门要主动作为，</w:t>
      </w:r>
      <w:r>
        <w:rPr>
          <w:rFonts w:hint="eastAsia" w:ascii="仿宋_GB2312" w:hAnsi="仿宋_GB2312" w:eastAsia="仿宋_GB2312" w:cs="仿宋_GB2312"/>
          <w:kern w:val="0"/>
          <w:sz w:val="32"/>
          <w:szCs w:val="32"/>
          <w:lang w:bidi="ar"/>
        </w:rPr>
        <w:t>加强对复制推广工作的业务指导和跟踪督导，及时协调解决复制推广工作中遇到的困难和问题，并于3月底前制定出台具体措施，确保改革创新成果逐一落实到位。</w:t>
      </w:r>
      <w:r>
        <w:rPr>
          <w:rStyle w:val="11"/>
          <w:rFonts w:hint="eastAsia" w:ascii="仿宋_GB2312" w:hAnsi="仿宋_GB2312" w:eastAsia="仿宋_GB2312" w:cs="仿宋_GB2312"/>
          <w:b w:val="0"/>
          <w:bCs/>
          <w:kern w:val="0"/>
          <w:sz w:val="32"/>
          <w:szCs w:val="32"/>
          <w:lang w:val="zh-CN" w:bidi="ar"/>
        </w:rPr>
        <w:t>省自贸办要适时督查复制推广工作进展和成效，协调解决复制推广工作中的重点和难点问题。</w:t>
      </w:r>
      <w:r>
        <w:rPr>
          <w:rFonts w:hint="eastAsia" w:ascii="仿宋_GB2312" w:hAnsi="仿宋_GB2312" w:eastAsia="仿宋_GB2312" w:cs="仿宋_GB2312"/>
          <w:kern w:val="0"/>
          <w:sz w:val="32"/>
          <w:szCs w:val="32"/>
          <w:lang w:bidi="ar"/>
        </w:rPr>
        <w:t>各市（区）复制推广工作落实情况于5月底前报省自贸办。</w:t>
      </w:r>
    </w:p>
    <w:p>
      <w:pPr>
        <w:spacing w:line="560" w:lineRule="exact"/>
        <w:ind w:firstLine="640" w:firstLineChars="200"/>
        <w:rPr>
          <w:rFonts w:hint="eastAsia" w:ascii="仿宋_GB2312" w:hAnsi="仿宋_GB2312" w:eastAsia="仿宋_GB2312" w:cs="仿宋_GB2312"/>
          <w:kern w:val="0"/>
          <w:sz w:val="32"/>
          <w:szCs w:val="32"/>
          <w:lang w:bidi="ar"/>
        </w:rPr>
      </w:pPr>
      <w:r>
        <w:rPr>
          <w:rStyle w:val="11"/>
          <w:rFonts w:hint="eastAsia" w:ascii="仿宋_GB2312" w:hAnsi="仿宋_GB2312" w:eastAsia="仿宋_GB2312" w:cs="仿宋_GB2312"/>
          <w:b w:val="0"/>
          <w:bCs/>
          <w:kern w:val="0"/>
          <w:sz w:val="32"/>
          <w:szCs w:val="32"/>
          <w:lang w:bidi="ar"/>
        </w:rPr>
        <w:t>第三批</w:t>
      </w:r>
      <w:r>
        <w:rPr>
          <w:rFonts w:hint="eastAsia" w:ascii="仿宋_GB2312" w:hAnsi="仿宋_GB2312" w:eastAsia="仿宋_GB2312" w:cs="仿宋_GB2312"/>
          <w:kern w:val="0"/>
          <w:sz w:val="32"/>
          <w:szCs w:val="32"/>
          <w:lang w:bidi="ar"/>
        </w:rPr>
        <w:t>复制推广30项改革创新成果的具体做法在中国（陕西）自由贸易试验区官网（</w:t>
      </w:r>
      <w:r>
        <w:rPr>
          <w:rFonts w:hint="eastAsia" w:ascii="仿宋_GB2312" w:hAnsi="仿宋_GB2312" w:eastAsia="仿宋_GB2312" w:cs="仿宋_GB2312"/>
          <w:kern w:val="0"/>
          <w:sz w:val="32"/>
          <w:szCs w:val="32"/>
          <w:lang w:bidi="ar"/>
        </w:rPr>
        <w:fldChar w:fldCharType="begin"/>
      </w:r>
      <w:r>
        <w:rPr>
          <w:rFonts w:hint="eastAsia" w:ascii="仿宋_GB2312" w:hAnsi="仿宋_GB2312" w:eastAsia="仿宋_GB2312" w:cs="仿宋_GB2312"/>
          <w:kern w:val="0"/>
          <w:sz w:val="32"/>
          <w:szCs w:val="32"/>
          <w:lang w:bidi="ar"/>
        </w:rPr>
        <w:instrText xml:space="preserve"> HYPERLINK "http://ftz.shaanxi.gov.cn/" </w:instrText>
      </w:r>
      <w:r>
        <w:rPr>
          <w:rFonts w:hint="eastAsia" w:ascii="仿宋_GB2312" w:hAnsi="仿宋_GB2312" w:eastAsia="仿宋_GB2312" w:cs="仿宋_GB2312"/>
          <w:kern w:val="0"/>
          <w:sz w:val="32"/>
          <w:szCs w:val="32"/>
          <w:lang w:bidi="ar"/>
        </w:rPr>
        <w:fldChar w:fldCharType="separate"/>
      </w:r>
      <w:r>
        <w:rPr>
          <w:rFonts w:hint="eastAsia" w:ascii="仿宋_GB2312" w:hAnsi="仿宋_GB2312" w:eastAsia="仿宋_GB2312" w:cs="仿宋_GB2312"/>
          <w:kern w:val="0"/>
          <w:sz w:val="32"/>
          <w:szCs w:val="32"/>
          <w:lang w:bidi="ar"/>
        </w:rPr>
        <w:t>http://ftz.shaanxi.gov.cn/</w:t>
      </w:r>
      <w:r>
        <w:rPr>
          <w:rFonts w:hint="eastAsia" w:ascii="仿宋_GB2312" w:hAnsi="仿宋_GB2312" w:eastAsia="仿宋_GB2312" w:cs="仿宋_GB2312"/>
          <w:kern w:val="0"/>
          <w:sz w:val="32"/>
          <w:szCs w:val="32"/>
          <w:lang w:bidi="ar"/>
        </w:rPr>
        <w:fldChar w:fldCharType="end"/>
      </w:r>
      <w:r>
        <w:rPr>
          <w:rFonts w:hint="eastAsia" w:ascii="仿宋_GB2312" w:hAnsi="仿宋_GB2312" w:eastAsia="仿宋_GB2312" w:cs="仿宋_GB2312"/>
          <w:kern w:val="0"/>
          <w:sz w:val="32"/>
          <w:szCs w:val="32"/>
          <w:lang w:bidi="ar"/>
        </w:rPr>
        <w:t>）“通知公告”栏目下载。</w:t>
      </w:r>
    </w:p>
    <w:p>
      <w:pPr>
        <w:spacing w:line="560" w:lineRule="exact"/>
        <w:ind w:firstLine="640" w:firstLineChars="200"/>
        <w:rPr>
          <w:rFonts w:hint="eastAsia" w:ascii="仿宋_GB2312" w:hAnsi="仿宋_GB2312" w:eastAsia="仿宋_GB2312" w:cs="仿宋_GB2312"/>
          <w:kern w:val="0"/>
          <w:sz w:val="32"/>
          <w:szCs w:val="32"/>
          <w:lang w:bidi="ar"/>
        </w:rPr>
      </w:pPr>
    </w:p>
    <w:p>
      <w:pPr>
        <w:spacing w:line="560" w:lineRule="exact"/>
        <w:ind w:left="1598" w:leftChars="304" w:hanging="960" w:hangingChars="300"/>
        <w:rPr>
          <w:rFonts w:hint="eastAsia" w:ascii="仿宋_GB2312" w:hAnsi="仿宋_GB2312" w:eastAsia="仿宋_GB2312" w:cs="仿宋_GB2312"/>
          <w:kern w:val="0"/>
          <w:sz w:val="32"/>
          <w:szCs w:val="32"/>
          <w:lang w:bidi="ar"/>
        </w:rPr>
      </w:pPr>
      <w:r>
        <w:rPr>
          <w:rFonts w:hint="eastAsia" w:ascii="仿宋_GB2312" w:hAnsi="仿宋_GB2312" w:eastAsia="仿宋_GB2312" w:cs="仿宋_GB2312"/>
          <w:kern w:val="0"/>
          <w:sz w:val="32"/>
          <w:szCs w:val="32"/>
          <w:lang w:bidi="ar"/>
        </w:rPr>
        <w:t>附件：陕西自贸试验区第三批改革创新成果复制推广任务分工表</w:t>
      </w:r>
    </w:p>
    <w:p>
      <w:pPr>
        <w:spacing w:line="560" w:lineRule="exact"/>
        <w:rPr>
          <w:rFonts w:hint="eastAsia" w:ascii="仿宋_GB2312" w:hAnsi="仿宋_GB2312" w:eastAsia="仿宋_GB2312" w:cs="仿宋_GB2312"/>
          <w:kern w:val="0"/>
          <w:sz w:val="32"/>
          <w:szCs w:val="32"/>
          <w:lang w:bidi="ar"/>
        </w:rPr>
      </w:pPr>
    </w:p>
    <w:p>
      <w:pPr>
        <w:spacing w:line="560" w:lineRule="exact"/>
        <w:rPr>
          <w:rFonts w:hint="eastAsia" w:ascii="仿宋_GB2312" w:hAnsi="仿宋_GB2312" w:eastAsia="仿宋_GB2312" w:cs="仿宋_GB2312"/>
          <w:kern w:val="0"/>
          <w:sz w:val="32"/>
          <w:szCs w:val="32"/>
          <w:lang w:bidi="ar"/>
        </w:rPr>
      </w:pPr>
      <w:r>
        <w:rPr>
          <w:rFonts w:hint="eastAsia" w:ascii="仿宋_GB2312" w:hAnsi="仿宋_GB2312" w:eastAsia="仿宋_GB2312" w:cs="仿宋_GB2312"/>
          <w:kern w:val="0"/>
          <w:sz w:val="32"/>
          <w:szCs w:val="32"/>
          <w:lang w:bidi="ar"/>
        </w:rPr>
        <w:t xml:space="preserve">                       </w:t>
      </w:r>
    </w:p>
    <w:p>
      <w:pPr>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kern w:val="0"/>
          <w:sz w:val="32"/>
          <w:szCs w:val="32"/>
          <w:lang w:bidi="ar"/>
        </w:rPr>
        <w:t xml:space="preserve">                           陕西省人民政府办公厅</w:t>
      </w:r>
    </w:p>
    <w:p>
      <w:pPr>
        <w:spacing w:line="560" w:lineRule="exact"/>
        <w:ind w:firstLine="420"/>
        <w:rPr>
          <w:rFonts w:hint="eastAsia" w:ascii="仿宋_GB2312" w:hAnsi="仿宋_GB2312" w:eastAsia="仿宋_GB2312" w:cs="仿宋_GB2312"/>
          <w:kern w:val="0"/>
          <w:sz w:val="32"/>
          <w:szCs w:val="32"/>
          <w:lang w:bidi="ar"/>
        </w:rPr>
      </w:pPr>
      <w:r>
        <w:rPr>
          <w:rFonts w:hint="eastAsia" w:ascii="仿宋_GB2312" w:hAnsi="仿宋_GB2312" w:eastAsia="仿宋_GB2312" w:cs="仿宋_GB2312"/>
          <w:kern w:val="0"/>
          <w:sz w:val="32"/>
          <w:szCs w:val="32"/>
          <w:lang w:bidi="ar"/>
        </w:rPr>
        <w:t xml:space="preserve">                            2021年3月  日</w:t>
      </w:r>
    </w:p>
    <w:p>
      <w:pPr>
        <w:spacing w:line="540" w:lineRule="exact"/>
        <w:jc w:val="left"/>
        <w:rPr>
          <w:rStyle w:val="11"/>
          <w:rFonts w:hint="eastAsia" w:ascii="黑体" w:hAnsi="黑体" w:eastAsia="黑体" w:cs="黑体"/>
          <w:b w:val="0"/>
          <w:bCs/>
          <w:color w:val="000000"/>
          <w:w w:val="88"/>
          <w:kern w:val="0"/>
          <w:sz w:val="32"/>
          <w:szCs w:val="32"/>
          <w:lang w:bidi="ar"/>
        </w:rPr>
      </w:pPr>
      <w:r>
        <w:rPr>
          <w:rStyle w:val="11"/>
          <w:rFonts w:hint="eastAsia" w:ascii="黑体" w:hAnsi="黑体" w:eastAsia="黑体" w:cs="黑体"/>
          <w:b w:val="0"/>
          <w:bCs/>
          <w:color w:val="000000"/>
          <w:w w:val="88"/>
          <w:kern w:val="0"/>
          <w:sz w:val="32"/>
          <w:szCs w:val="32"/>
          <w:lang w:bidi="ar"/>
        </w:rPr>
        <w:t>附件</w:t>
      </w:r>
    </w:p>
    <w:p>
      <w:pPr>
        <w:pStyle w:val="4"/>
        <w:spacing w:line="300" w:lineRule="exact"/>
        <w:rPr>
          <w:rFonts w:hint="eastAsia"/>
          <w:lang w:eastAsia="zh-CN"/>
        </w:rPr>
      </w:pPr>
    </w:p>
    <w:p>
      <w:pPr>
        <w:spacing w:line="540" w:lineRule="exact"/>
        <w:jc w:val="center"/>
        <w:rPr>
          <w:rStyle w:val="11"/>
          <w:rFonts w:hint="eastAsia" w:ascii="方正小标宋简体" w:hAnsi="方正小标宋简体" w:eastAsia="方正小标宋简体" w:cs="方正小标宋简体"/>
          <w:b w:val="0"/>
          <w:bCs/>
          <w:color w:val="000000"/>
          <w:w w:val="88"/>
          <w:kern w:val="0"/>
          <w:sz w:val="44"/>
          <w:szCs w:val="44"/>
          <w:lang w:bidi="ar"/>
        </w:rPr>
      </w:pPr>
      <w:r>
        <w:rPr>
          <w:rStyle w:val="11"/>
          <w:rFonts w:hint="eastAsia" w:ascii="方正小标宋简体" w:hAnsi="方正小标宋简体" w:eastAsia="方正小标宋简体" w:cs="方正小标宋简体"/>
          <w:b w:val="0"/>
          <w:bCs/>
          <w:color w:val="000000"/>
          <w:w w:val="88"/>
          <w:kern w:val="0"/>
          <w:sz w:val="44"/>
          <w:szCs w:val="44"/>
          <w:lang w:bidi="ar"/>
        </w:rPr>
        <w:t>陕西自贸试验区第三批改革创新成果</w:t>
      </w:r>
    </w:p>
    <w:p>
      <w:pPr>
        <w:spacing w:line="540" w:lineRule="exact"/>
        <w:jc w:val="center"/>
        <w:rPr>
          <w:rStyle w:val="11"/>
          <w:rFonts w:hint="eastAsia" w:ascii="方正小标宋简体" w:hAnsi="方正小标宋简体" w:eastAsia="方正小标宋简体" w:cs="方正小标宋简体"/>
          <w:b w:val="0"/>
          <w:bCs/>
          <w:color w:val="000000"/>
          <w:w w:val="88"/>
          <w:kern w:val="0"/>
          <w:sz w:val="44"/>
          <w:szCs w:val="44"/>
          <w:lang w:bidi="ar"/>
        </w:rPr>
      </w:pPr>
      <w:r>
        <w:rPr>
          <w:rStyle w:val="11"/>
          <w:rFonts w:hint="eastAsia" w:ascii="方正小标宋简体" w:hAnsi="方正小标宋简体" w:eastAsia="方正小标宋简体" w:cs="方正小标宋简体"/>
          <w:b w:val="0"/>
          <w:bCs/>
          <w:color w:val="000000"/>
          <w:w w:val="88"/>
          <w:kern w:val="0"/>
          <w:sz w:val="44"/>
          <w:szCs w:val="44"/>
          <w:lang w:bidi="ar"/>
        </w:rPr>
        <w:t>复制推广任务分工表</w:t>
      </w:r>
    </w:p>
    <w:tbl>
      <w:tblPr>
        <w:tblStyle w:val="8"/>
        <w:tblW w:w="964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2"/>
        <w:gridCol w:w="4410"/>
        <w:gridCol w:w="1995"/>
        <w:gridCol w:w="780"/>
        <w:gridCol w:w="720"/>
        <w:gridCol w:w="11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14" w:hRule="atLeast"/>
          <w:jc w:val="center"/>
        </w:trPr>
        <w:tc>
          <w:tcPr>
            <w:tcW w:w="572" w:type="dxa"/>
            <w:noWrap w:val="0"/>
            <w:vAlign w:val="center"/>
          </w:tcPr>
          <w:p>
            <w:pPr>
              <w:jc w:val="center"/>
              <w:rPr>
                <w:rFonts w:hint="eastAsia" w:ascii="黑体" w:hAnsi="黑体" w:eastAsia="黑体" w:cs="黑体"/>
                <w:szCs w:val="21"/>
              </w:rPr>
            </w:pPr>
            <w:r>
              <w:rPr>
                <w:rFonts w:hint="eastAsia" w:ascii="黑体" w:hAnsi="黑体" w:eastAsia="黑体" w:cs="黑体"/>
                <w:szCs w:val="21"/>
              </w:rPr>
              <w:t>序号</w:t>
            </w:r>
          </w:p>
        </w:tc>
        <w:tc>
          <w:tcPr>
            <w:tcW w:w="4410" w:type="dxa"/>
            <w:noWrap w:val="0"/>
            <w:vAlign w:val="center"/>
          </w:tcPr>
          <w:p>
            <w:pPr>
              <w:jc w:val="center"/>
              <w:rPr>
                <w:rFonts w:hint="eastAsia" w:ascii="黑体" w:hAnsi="黑体" w:eastAsia="黑体" w:cs="黑体"/>
                <w:szCs w:val="21"/>
              </w:rPr>
            </w:pPr>
            <w:r>
              <w:rPr>
                <w:rFonts w:hint="eastAsia" w:ascii="黑体" w:hAnsi="黑体" w:eastAsia="黑体" w:cs="黑体"/>
                <w:szCs w:val="21"/>
              </w:rPr>
              <w:t>改革创新成果</w:t>
            </w:r>
          </w:p>
        </w:tc>
        <w:tc>
          <w:tcPr>
            <w:tcW w:w="1995" w:type="dxa"/>
            <w:noWrap w:val="0"/>
            <w:vAlign w:val="center"/>
          </w:tcPr>
          <w:p>
            <w:pPr>
              <w:jc w:val="center"/>
              <w:rPr>
                <w:rFonts w:hint="eastAsia" w:ascii="黑体" w:hAnsi="黑体" w:eastAsia="黑体" w:cs="黑体"/>
                <w:szCs w:val="21"/>
              </w:rPr>
            </w:pPr>
            <w:r>
              <w:rPr>
                <w:rFonts w:hint="eastAsia" w:ascii="黑体" w:hAnsi="黑体" w:eastAsia="黑体" w:cs="黑体"/>
                <w:szCs w:val="21"/>
              </w:rPr>
              <w:t>试 点</w:t>
            </w:r>
          </w:p>
          <w:p>
            <w:pPr>
              <w:jc w:val="center"/>
              <w:rPr>
                <w:rFonts w:hint="eastAsia" w:ascii="黑体" w:hAnsi="黑体" w:eastAsia="黑体" w:cs="黑体"/>
                <w:szCs w:val="21"/>
              </w:rPr>
            </w:pPr>
            <w:r>
              <w:rPr>
                <w:rFonts w:hint="eastAsia" w:ascii="黑体" w:hAnsi="黑体" w:eastAsia="黑体" w:cs="黑体"/>
                <w:szCs w:val="21"/>
              </w:rPr>
              <w:t>区 域</w:t>
            </w:r>
          </w:p>
        </w:tc>
        <w:tc>
          <w:tcPr>
            <w:tcW w:w="780" w:type="dxa"/>
            <w:noWrap w:val="0"/>
            <w:vAlign w:val="center"/>
          </w:tcPr>
          <w:p>
            <w:pPr>
              <w:jc w:val="center"/>
              <w:rPr>
                <w:rFonts w:hint="eastAsia" w:ascii="黑体" w:hAnsi="黑体" w:eastAsia="黑体" w:cs="黑体"/>
                <w:szCs w:val="21"/>
              </w:rPr>
            </w:pPr>
            <w:r>
              <w:rPr>
                <w:rFonts w:hint="eastAsia" w:ascii="黑体" w:hAnsi="黑体" w:eastAsia="黑体" w:cs="黑体"/>
                <w:szCs w:val="21"/>
              </w:rPr>
              <w:t>拟复制推广的范围</w:t>
            </w:r>
          </w:p>
        </w:tc>
        <w:tc>
          <w:tcPr>
            <w:tcW w:w="720" w:type="dxa"/>
            <w:noWrap w:val="0"/>
            <w:vAlign w:val="center"/>
          </w:tcPr>
          <w:p>
            <w:pPr>
              <w:jc w:val="center"/>
              <w:rPr>
                <w:rFonts w:hint="eastAsia" w:ascii="黑体" w:hAnsi="黑体" w:eastAsia="黑体" w:cs="黑体"/>
                <w:szCs w:val="21"/>
              </w:rPr>
            </w:pPr>
            <w:r>
              <w:rPr>
                <w:rFonts w:hint="eastAsia" w:ascii="黑体" w:hAnsi="黑体" w:eastAsia="黑体" w:cs="黑体"/>
                <w:szCs w:val="21"/>
              </w:rPr>
              <w:t>复制</w:t>
            </w:r>
          </w:p>
          <w:p>
            <w:pPr>
              <w:jc w:val="center"/>
              <w:rPr>
                <w:rFonts w:hint="eastAsia" w:ascii="黑体" w:hAnsi="黑体" w:eastAsia="黑体" w:cs="黑体"/>
                <w:szCs w:val="21"/>
              </w:rPr>
            </w:pPr>
            <w:r>
              <w:rPr>
                <w:rFonts w:hint="eastAsia" w:ascii="黑体" w:hAnsi="黑体" w:eastAsia="黑体" w:cs="黑体"/>
                <w:szCs w:val="21"/>
              </w:rPr>
              <w:t>推广</w:t>
            </w:r>
          </w:p>
          <w:p>
            <w:pPr>
              <w:jc w:val="center"/>
              <w:rPr>
                <w:rFonts w:hint="eastAsia" w:ascii="黑体" w:hAnsi="黑体" w:eastAsia="黑体" w:cs="黑体"/>
                <w:szCs w:val="21"/>
              </w:rPr>
            </w:pPr>
            <w:r>
              <w:rPr>
                <w:rFonts w:hint="eastAsia" w:ascii="黑体" w:hAnsi="黑体" w:eastAsia="黑体" w:cs="黑体"/>
                <w:szCs w:val="21"/>
              </w:rPr>
              <w:t>类型</w:t>
            </w:r>
          </w:p>
        </w:tc>
        <w:tc>
          <w:tcPr>
            <w:tcW w:w="1168" w:type="dxa"/>
            <w:noWrap w:val="0"/>
            <w:vAlign w:val="center"/>
          </w:tcPr>
          <w:p>
            <w:pPr>
              <w:jc w:val="center"/>
              <w:rPr>
                <w:rFonts w:hint="eastAsia" w:ascii="黑体" w:hAnsi="黑体" w:eastAsia="黑体" w:cs="黑体"/>
                <w:szCs w:val="21"/>
              </w:rPr>
            </w:pPr>
            <w:r>
              <w:rPr>
                <w:rFonts w:hint="eastAsia" w:ascii="黑体" w:hAnsi="黑体" w:eastAsia="黑体" w:cs="黑体"/>
                <w:szCs w:val="21"/>
              </w:rPr>
              <w:t>牵 头</w:t>
            </w:r>
          </w:p>
          <w:p>
            <w:pPr>
              <w:jc w:val="center"/>
              <w:rPr>
                <w:rFonts w:hint="eastAsia" w:ascii="黑体" w:hAnsi="黑体" w:eastAsia="黑体" w:cs="黑体"/>
                <w:szCs w:val="21"/>
              </w:rPr>
            </w:pPr>
            <w:r>
              <w:rPr>
                <w:rFonts w:hint="eastAsia" w:ascii="黑体" w:hAnsi="黑体" w:eastAsia="黑体" w:cs="黑体"/>
                <w:szCs w:val="21"/>
              </w:rPr>
              <w:t>单 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65" w:hRule="atLeast"/>
          <w:jc w:val="center"/>
        </w:trPr>
        <w:tc>
          <w:tcPr>
            <w:tcW w:w="572"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1</w:t>
            </w:r>
          </w:p>
        </w:tc>
        <w:tc>
          <w:tcPr>
            <w:tcW w:w="4410" w:type="dxa"/>
            <w:noWrap w:val="0"/>
            <w:vAlign w:val="center"/>
          </w:tcPr>
          <w:p>
            <w:pPr>
              <w:spacing w:line="320" w:lineRule="exact"/>
              <w:rPr>
                <w:rFonts w:hint="eastAsia" w:ascii="仿宋" w:hAnsi="仿宋" w:eastAsia="仿宋" w:cs="仿宋"/>
                <w:szCs w:val="21"/>
              </w:rPr>
            </w:pPr>
            <w:r>
              <w:rPr>
                <w:rFonts w:hint="eastAsia" w:ascii="仿宋" w:hAnsi="仿宋" w:eastAsia="仿宋" w:cs="仿宋"/>
                <w:b/>
                <w:bCs/>
                <w:szCs w:val="21"/>
              </w:rPr>
              <w:t>“套餐式”审批服务模式。</w:t>
            </w:r>
            <w:r>
              <w:rPr>
                <w:rFonts w:hint="eastAsia" w:ascii="仿宋" w:hAnsi="仿宋" w:eastAsia="仿宋" w:cs="仿宋"/>
                <w:szCs w:val="21"/>
              </w:rPr>
              <w:t>围绕市场准入领域审批和办件量较大的高频事项，推出“开饭店”“开理发店”等标准化审批套餐，申请人通过线上线下平台一次性提交相关资料，各部门同步进行证照办理和现场踏勘，实现了多个证照一次办结，同步发放，办理时限较以往压缩了三分之一。</w:t>
            </w:r>
          </w:p>
        </w:tc>
        <w:tc>
          <w:tcPr>
            <w:tcW w:w="1995" w:type="dxa"/>
            <w:noWrap w:val="0"/>
            <w:vAlign w:val="center"/>
          </w:tcPr>
          <w:p>
            <w:pPr>
              <w:spacing w:line="320" w:lineRule="exact"/>
              <w:rPr>
                <w:rFonts w:hint="eastAsia" w:ascii="仿宋" w:hAnsi="仿宋" w:eastAsia="仿宋" w:cs="仿宋"/>
                <w:szCs w:val="21"/>
              </w:rPr>
            </w:pPr>
            <w:r>
              <w:rPr>
                <w:rFonts w:hint="eastAsia" w:ascii="仿宋" w:hAnsi="仿宋" w:eastAsia="仿宋" w:cs="仿宋"/>
                <w:szCs w:val="21"/>
              </w:rPr>
              <w:t>国际港务区功能区</w:t>
            </w:r>
          </w:p>
        </w:tc>
        <w:tc>
          <w:tcPr>
            <w:tcW w:w="780"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全省</w:t>
            </w:r>
          </w:p>
        </w:tc>
        <w:tc>
          <w:tcPr>
            <w:tcW w:w="720"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复制</w:t>
            </w:r>
          </w:p>
        </w:tc>
        <w:tc>
          <w:tcPr>
            <w:tcW w:w="1168" w:type="dxa"/>
            <w:noWrap w:val="0"/>
            <w:vAlign w:val="center"/>
          </w:tcPr>
          <w:p>
            <w:pPr>
              <w:spacing w:line="320" w:lineRule="exact"/>
              <w:rPr>
                <w:rFonts w:hint="eastAsia" w:ascii="仿宋" w:hAnsi="仿宋" w:eastAsia="仿宋" w:cs="仿宋"/>
                <w:szCs w:val="21"/>
              </w:rPr>
            </w:pPr>
            <w:r>
              <w:rPr>
                <w:rFonts w:hint="eastAsia" w:ascii="仿宋" w:hAnsi="仿宋" w:eastAsia="仿宋" w:cs="仿宋"/>
                <w:szCs w:val="21"/>
              </w:rPr>
              <w:t>各市（区）政府（管委会）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60" w:hRule="atLeast"/>
          <w:jc w:val="center"/>
        </w:trPr>
        <w:tc>
          <w:tcPr>
            <w:tcW w:w="572"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2</w:t>
            </w:r>
          </w:p>
        </w:tc>
        <w:tc>
          <w:tcPr>
            <w:tcW w:w="4410" w:type="dxa"/>
            <w:noWrap w:val="0"/>
            <w:vAlign w:val="center"/>
          </w:tcPr>
          <w:p>
            <w:pPr>
              <w:spacing w:line="320" w:lineRule="exact"/>
              <w:rPr>
                <w:rFonts w:hint="eastAsia" w:ascii="仿宋" w:hAnsi="仿宋" w:eastAsia="仿宋" w:cs="仿宋"/>
                <w:szCs w:val="21"/>
              </w:rPr>
            </w:pPr>
            <w:r>
              <w:rPr>
                <w:rFonts w:hint="eastAsia" w:ascii="仿宋" w:hAnsi="仿宋" w:eastAsia="仿宋" w:cs="仿宋"/>
                <w:b/>
                <w:bCs/>
                <w:szCs w:val="21"/>
              </w:rPr>
              <w:t>政务服务跨区通办。</w:t>
            </w:r>
            <w:r>
              <w:rPr>
                <w:rFonts w:hint="eastAsia" w:ascii="仿宋" w:hAnsi="仿宋" w:eastAsia="仿宋" w:cs="仿宋"/>
                <w:szCs w:val="21"/>
              </w:rPr>
              <w:t>梳理出257项跨区通办事项清单，通过“异地受理、内部流转、属地办理、限时反馈、结果互认”的模式，实现办事群众在全市任一政务服务大厅办理清单内政务服务事项。</w:t>
            </w:r>
          </w:p>
        </w:tc>
        <w:tc>
          <w:tcPr>
            <w:tcW w:w="1995" w:type="dxa"/>
            <w:noWrap w:val="0"/>
            <w:vAlign w:val="center"/>
          </w:tcPr>
          <w:p>
            <w:pPr>
              <w:spacing w:line="320" w:lineRule="exact"/>
              <w:rPr>
                <w:rFonts w:hint="eastAsia" w:ascii="仿宋" w:hAnsi="仿宋" w:eastAsia="仿宋" w:cs="仿宋"/>
                <w:szCs w:val="21"/>
              </w:rPr>
            </w:pPr>
            <w:r>
              <w:rPr>
                <w:rFonts w:hint="eastAsia" w:ascii="仿宋" w:hAnsi="仿宋" w:eastAsia="仿宋" w:cs="仿宋"/>
                <w:szCs w:val="21"/>
              </w:rPr>
              <w:t>高新区功能区、经开区功能区、国际港务区功能区、浐灞生态区功能区</w:t>
            </w:r>
          </w:p>
        </w:tc>
        <w:tc>
          <w:tcPr>
            <w:tcW w:w="780"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全省</w:t>
            </w:r>
          </w:p>
        </w:tc>
        <w:tc>
          <w:tcPr>
            <w:tcW w:w="720"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复制</w:t>
            </w:r>
          </w:p>
        </w:tc>
        <w:tc>
          <w:tcPr>
            <w:tcW w:w="1168" w:type="dxa"/>
            <w:noWrap w:val="0"/>
            <w:vAlign w:val="center"/>
          </w:tcPr>
          <w:p>
            <w:pPr>
              <w:spacing w:line="320" w:lineRule="exact"/>
              <w:rPr>
                <w:rFonts w:hint="eastAsia" w:ascii="仿宋" w:hAnsi="仿宋" w:eastAsia="仿宋" w:cs="仿宋"/>
                <w:szCs w:val="21"/>
              </w:rPr>
            </w:pPr>
            <w:r>
              <w:rPr>
                <w:rFonts w:hint="eastAsia" w:ascii="仿宋" w:hAnsi="仿宋" w:eastAsia="仿宋" w:cs="仿宋"/>
                <w:szCs w:val="21"/>
              </w:rPr>
              <w:t>各市（区）政府（管委会）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85" w:hRule="atLeast"/>
          <w:jc w:val="center"/>
        </w:trPr>
        <w:tc>
          <w:tcPr>
            <w:tcW w:w="572"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3</w:t>
            </w:r>
          </w:p>
        </w:tc>
        <w:tc>
          <w:tcPr>
            <w:tcW w:w="4410" w:type="dxa"/>
            <w:noWrap w:val="0"/>
            <w:vAlign w:val="center"/>
          </w:tcPr>
          <w:p>
            <w:pPr>
              <w:spacing w:line="320" w:lineRule="exact"/>
              <w:rPr>
                <w:rFonts w:hint="eastAsia" w:ascii="仿宋" w:hAnsi="仿宋" w:eastAsia="仿宋" w:cs="仿宋"/>
                <w:szCs w:val="21"/>
              </w:rPr>
            </w:pPr>
            <w:r>
              <w:rPr>
                <w:rFonts w:hint="eastAsia" w:ascii="仿宋" w:hAnsi="仿宋" w:eastAsia="仿宋" w:cs="仿宋"/>
                <w:b/>
                <w:bCs/>
                <w:szCs w:val="21"/>
                <w:lang w:val="en-GB"/>
              </w:rPr>
              <w:t>“水电气暖”综合窗口集成服务。</w:t>
            </w:r>
            <w:r>
              <w:rPr>
                <w:rFonts w:hint="eastAsia" w:ascii="仿宋" w:hAnsi="仿宋" w:eastAsia="仿宋" w:cs="仿宋"/>
                <w:szCs w:val="21"/>
                <w:lang w:val="en-GB"/>
              </w:rPr>
              <w:t>将原来分散的“水电气暖”报装业务整合到一起，设立“水电气暖”综窗，企业和居民填写一张《“水电气暖”综窗报装申请表》，即可完成报装，政务中心直接审批并反馈结果，办理时间由原来的7天缩减为</w:t>
            </w:r>
            <w:r>
              <w:rPr>
                <w:rFonts w:hint="eastAsia" w:ascii="仿宋" w:hAnsi="仿宋" w:eastAsia="仿宋" w:cs="仿宋"/>
                <w:szCs w:val="21"/>
              </w:rPr>
              <w:t>1</w:t>
            </w:r>
            <w:r>
              <w:rPr>
                <w:rFonts w:hint="eastAsia" w:ascii="仿宋" w:hAnsi="仿宋" w:eastAsia="仿宋" w:cs="仿宋"/>
                <w:szCs w:val="21"/>
                <w:lang w:val="en-GB"/>
              </w:rPr>
              <w:t>天。</w:t>
            </w:r>
          </w:p>
        </w:tc>
        <w:tc>
          <w:tcPr>
            <w:tcW w:w="1995" w:type="dxa"/>
            <w:noWrap w:val="0"/>
            <w:vAlign w:val="center"/>
          </w:tcPr>
          <w:p>
            <w:pPr>
              <w:spacing w:line="320" w:lineRule="exact"/>
              <w:rPr>
                <w:rFonts w:hint="eastAsia" w:ascii="仿宋" w:hAnsi="仿宋" w:eastAsia="仿宋" w:cs="仿宋"/>
                <w:szCs w:val="21"/>
              </w:rPr>
            </w:pPr>
            <w:r>
              <w:rPr>
                <w:rFonts w:hint="eastAsia" w:ascii="仿宋" w:hAnsi="仿宋" w:eastAsia="仿宋" w:cs="仿宋"/>
                <w:szCs w:val="21"/>
              </w:rPr>
              <w:t>浐灞生态区功能区</w:t>
            </w:r>
          </w:p>
        </w:tc>
        <w:tc>
          <w:tcPr>
            <w:tcW w:w="780"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全省</w:t>
            </w:r>
          </w:p>
        </w:tc>
        <w:tc>
          <w:tcPr>
            <w:tcW w:w="720"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复制</w:t>
            </w:r>
          </w:p>
        </w:tc>
        <w:tc>
          <w:tcPr>
            <w:tcW w:w="1168" w:type="dxa"/>
            <w:noWrap w:val="0"/>
            <w:vAlign w:val="center"/>
          </w:tcPr>
          <w:p>
            <w:pPr>
              <w:spacing w:line="320" w:lineRule="exact"/>
              <w:rPr>
                <w:rFonts w:hint="eastAsia" w:ascii="仿宋" w:hAnsi="仿宋" w:eastAsia="仿宋" w:cs="仿宋"/>
                <w:szCs w:val="21"/>
              </w:rPr>
            </w:pPr>
            <w:r>
              <w:rPr>
                <w:rFonts w:hint="eastAsia" w:ascii="仿宋" w:hAnsi="仿宋" w:eastAsia="仿宋" w:cs="仿宋"/>
                <w:szCs w:val="21"/>
              </w:rPr>
              <w:t>各市（区）政府（管委会）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0" w:hRule="atLeast"/>
          <w:jc w:val="center"/>
        </w:trPr>
        <w:tc>
          <w:tcPr>
            <w:tcW w:w="572"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4</w:t>
            </w:r>
          </w:p>
        </w:tc>
        <w:tc>
          <w:tcPr>
            <w:tcW w:w="4410" w:type="dxa"/>
            <w:noWrap w:val="0"/>
            <w:vAlign w:val="center"/>
          </w:tcPr>
          <w:p>
            <w:pPr>
              <w:spacing w:line="320" w:lineRule="exact"/>
              <w:rPr>
                <w:rFonts w:hint="eastAsia" w:ascii="仿宋" w:hAnsi="仿宋" w:eastAsia="仿宋" w:cs="仿宋"/>
                <w:szCs w:val="21"/>
              </w:rPr>
            </w:pPr>
            <w:r>
              <w:rPr>
                <w:rFonts w:hint="eastAsia" w:ascii="仿宋" w:hAnsi="仿宋" w:eastAsia="仿宋" w:cs="仿宋"/>
                <w:b/>
                <w:bCs/>
                <w:szCs w:val="21"/>
              </w:rPr>
              <w:t>药品“多证合一”。</w:t>
            </w:r>
            <w:r>
              <w:rPr>
                <w:rFonts w:hint="eastAsia" w:ascii="仿宋" w:hAnsi="仿宋" w:eastAsia="仿宋" w:cs="仿宋"/>
                <w:szCs w:val="21"/>
              </w:rPr>
              <w:t>将药品零售许可、食品经营许可、第三类医疗器械经营许可3项行政许可合并为1项，向开展食品、药品、医疗器械等多元化经营的药品零售企业颁发《食品药品经营许可证》，并标注所有经营范围项目。企业办理时限由150日减少为25个工作日。如企业被单独撤销《食品药品经营许可证》范围中的某项许可，则按程序换发其他许可证件。</w:t>
            </w:r>
          </w:p>
        </w:tc>
        <w:tc>
          <w:tcPr>
            <w:tcW w:w="1995" w:type="dxa"/>
            <w:noWrap w:val="0"/>
            <w:vAlign w:val="center"/>
          </w:tcPr>
          <w:p>
            <w:pPr>
              <w:spacing w:line="320" w:lineRule="exact"/>
              <w:rPr>
                <w:rFonts w:hint="eastAsia" w:ascii="仿宋" w:hAnsi="仿宋" w:eastAsia="仿宋" w:cs="仿宋"/>
                <w:szCs w:val="21"/>
              </w:rPr>
            </w:pPr>
            <w:r>
              <w:rPr>
                <w:rFonts w:hint="eastAsia" w:ascii="仿宋" w:hAnsi="仿宋" w:eastAsia="仿宋" w:cs="仿宋"/>
                <w:szCs w:val="21"/>
              </w:rPr>
              <w:t>杨凌示范区管委会</w:t>
            </w:r>
          </w:p>
        </w:tc>
        <w:tc>
          <w:tcPr>
            <w:tcW w:w="780"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全省</w:t>
            </w:r>
          </w:p>
        </w:tc>
        <w:tc>
          <w:tcPr>
            <w:tcW w:w="720"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复制</w:t>
            </w:r>
          </w:p>
        </w:tc>
        <w:tc>
          <w:tcPr>
            <w:tcW w:w="1168" w:type="dxa"/>
            <w:noWrap w:val="0"/>
            <w:vAlign w:val="center"/>
          </w:tcPr>
          <w:p>
            <w:pPr>
              <w:spacing w:line="320" w:lineRule="exact"/>
              <w:rPr>
                <w:rFonts w:hint="eastAsia" w:ascii="仿宋" w:hAnsi="仿宋" w:eastAsia="仿宋" w:cs="仿宋"/>
                <w:szCs w:val="21"/>
              </w:rPr>
            </w:pPr>
            <w:r>
              <w:rPr>
                <w:rFonts w:hint="eastAsia" w:ascii="仿宋" w:hAnsi="仿宋" w:eastAsia="仿宋" w:cs="仿宋"/>
                <w:szCs w:val="21"/>
              </w:rPr>
              <w:t>省市场监管局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85" w:hRule="exact"/>
          <w:jc w:val="center"/>
        </w:trPr>
        <w:tc>
          <w:tcPr>
            <w:tcW w:w="572"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5</w:t>
            </w:r>
          </w:p>
        </w:tc>
        <w:tc>
          <w:tcPr>
            <w:tcW w:w="4410" w:type="dxa"/>
            <w:noWrap w:val="0"/>
            <w:vAlign w:val="center"/>
          </w:tcPr>
          <w:p>
            <w:pPr>
              <w:spacing w:line="320" w:lineRule="exact"/>
              <w:rPr>
                <w:rFonts w:hint="eastAsia" w:ascii="仿宋" w:hAnsi="仿宋" w:eastAsia="仿宋" w:cs="仿宋"/>
                <w:szCs w:val="21"/>
              </w:rPr>
            </w:pPr>
            <w:r>
              <w:rPr>
                <w:rFonts w:hint="eastAsia" w:ascii="仿宋" w:hAnsi="仿宋" w:eastAsia="仿宋" w:cs="仿宋"/>
                <w:b/>
                <w:bCs/>
                <w:szCs w:val="21"/>
              </w:rPr>
              <w:t>工业互联网管理平台。</w:t>
            </w:r>
            <w:r>
              <w:rPr>
                <w:rFonts w:hint="eastAsia" w:ascii="仿宋" w:hAnsi="仿宋" w:eastAsia="仿宋" w:cs="仿宋"/>
                <w:szCs w:val="21"/>
              </w:rPr>
              <w:t>平台收集辖区工业企业生产经营信息，通过对数据自动核查、校对和在线分析，为企业提供政策推送、贯标服务、金融支撑、预警监管等服务，便利企业获得政策支持和信贷融资，提高了企业贯标通过率，帮助政府全面提升监管水平。</w:t>
            </w:r>
          </w:p>
        </w:tc>
        <w:tc>
          <w:tcPr>
            <w:tcW w:w="1995" w:type="dxa"/>
            <w:noWrap w:val="0"/>
            <w:vAlign w:val="center"/>
          </w:tcPr>
          <w:p>
            <w:pPr>
              <w:spacing w:line="320" w:lineRule="exact"/>
              <w:rPr>
                <w:rFonts w:hint="eastAsia" w:ascii="仿宋" w:hAnsi="仿宋" w:eastAsia="仿宋" w:cs="仿宋"/>
                <w:szCs w:val="21"/>
              </w:rPr>
            </w:pPr>
            <w:r>
              <w:rPr>
                <w:rFonts w:hint="eastAsia" w:ascii="仿宋" w:hAnsi="仿宋" w:eastAsia="仿宋" w:cs="仿宋"/>
                <w:szCs w:val="21"/>
              </w:rPr>
              <w:t>秦汉新城功能区</w:t>
            </w:r>
          </w:p>
        </w:tc>
        <w:tc>
          <w:tcPr>
            <w:tcW w:w="780"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全省</w:t>
            </w:r>
          </w:p>
        </w:tc>
        <w:tc>
          <w:tcPr>
            <w:tcW w:w="720"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推广</w:t>
            </w:r>
          </w:p>
        </w:tc>
        <w:tc>
          <w:tcPr>
            <w:tcW w:w="1168" w:type="dxa"/>
            <w:noWrap w:val="0"/>
            <w:vAlign w:val="center"/>
          </w:tcPr>
          <w:p>
            <w:pPr>
              <w:spacing w:line="320" w:lineRule="exact"/>
              <w:rPr>
                <w:rFonts w:hint="eastAsia" w:ascii="仿宋" w:hAnsi="仿宋" w:eastAsia="仿宋" w:cs="仿宋"/>
                <w:szCs w:val="21"/>
              </w:rPr>
            </w:pPr>
            <w:r>
              <w:rPr>
                <w:rFonts w:hint="eastAsia" w:ascii="仿宋" w:hAnsi="仿宋" w:eastAsia="仿宋" w:cs="仿宋"/>
                <w:szCs w:val="21"/>
              </w:rPr>
              <w:t>省工业和信息化厅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00" w:hRule="exact"/>
          <w:jc w:val="center"/>
        </w:trPr>
        <w:tc>
          <w:tcPr>
            <w:tcW w:w="572"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6</w:t>
            </w:r>
          </w:p>
        </w:tc>
        <w:tc>
          <w:tcPr>
            <w:tcW w:w="4410" w:type="dxa"/>
            <w:noWrap w:val="0"/>
            <w:vAlign w:val="center"/>
          </w:tcPr>
          <w:p>
            <w:pPr>
              <w:spacing w:line="320" w:lineRule="exact"/>
              <w:rPr>
                <w:rFonts w:hint="eastAsia" w:ascii="仿宋" w:hAnsi="仿宋" w:eastAsia="仿宋" w:cs="仿宋"/>
                <w:szCs w:val="21"/>
              </w:rPr>
            </w:pPr>
            <w:r>
              <w:rPr>
                <w:rFonts w:hint="eastAsia" w:ascii="仿宋" w:hAnsi="仿宋" w:eastAsia="仿宋" w:cs="仿宋"/>
                <w:b/>
                <w:bCs/>
                <w:szCs w:val="21"/>
              </w:rPr>
              <w:t>政务服务全程电子化改革。</w:t>
            </w:r>
            <w:r>
              <w:rPr>
                <w:rFonts w:hint="eastAsia" w:ascii="仿宋" w:hAnsi="仿宋" w:eastAsia="仿宋" w:cs="仿宋"/>
                <w:szCs w:val="21"/>
              </w:rPr>
              <w:t>依托政务服务平台，开发“电子签名、电子印章、电子证照、电子档案”功能，推行电子材料网上提交、在线审查、电子归档，审批结果发放电子证照，实现政务服务全程电子化。</w:t>
            </w:r>
          </w:p>
        </w:tc>
        <w:tc>
          <w:tcPr>
            <w:tcW w:w="1995" w:type="dxa"/>
            <w:noWrap w:val="0"/>
            <w:vAlign w:val="center"/>
          </w:tcPr>
          <w:p>
            <w:pPr>
              <w:spacing w:line="320" w:lineRule="exact"/>
              <w:rPr>
                <w:rFonts w:hint="eastAsia" w:ascii="仿宋" w:hAnsi="仿宋" w:eastAsia="仿宋" w:cs="仿宋"/>
                <w:szCs w:val="21"/>
              </w:rPr>
            </w:pPr>
            <w:r>
              <w:rPr>
                <w:rFonts w:hint="eastAsia" w:ascii="仿宋" w:hAnsi="仿宋" w:eastAsia="仿宋" w:cs="仿宋"/>
                <w:szCs w:val="21"/>
              </w:rPr>
              <w:t>沣东新城功能区、空港新城功能区、秦汉新城功能区、能源金贸功能区</w:t>
            </w:r>
          </w:p>
        </w:tc>
        <w:tc>
          <w:tcPr>
            <w:tcW w:w="780"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全省</w:t>
            </w:r>
          </w:p>
        </w:tc>
        <w:tc>
          <w:tcPr>
            <w:tcW w:w="720"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推广</w:t>
            </w:r>
          </w:p>
        </w:tc>
        <w:tc>
          <w:tcPr>
            <w:tcW w:w="1168" w:type="dxa"/>
            <w:noWrap w:val="0"/>
            <w:vAlign w:val="center"/>
          </w:tcPr>
          <w:p>
            <w:pPr>
              <w:spacing w:line="320" w:lineRule="exact"/>
              <w:rPr>
                <w:rFonts w:hint="eastAsia" w:ascii="仿宋" w:hAnsi="仿宋" w:eastAsia="仿宋" w:cs="仿宋"/>
                <w:szCs w:val="21"/>
              </w:rPr>
            </w:pPr>
            <w:r>
              <w:rPr>
                <w:rFonts w:hint="eastAsia" w:ascii="仿宋" w:hAnsi="仿宋" w:eastAsia="仿宋" w:cs="仿宋"/>
                <w:szCs w:val="21"/>
              </w:rPr>
              <w:t>各市（区）政府（管委会）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20" w:hRule="atLeast"/>
          <w:jc w:val="center"/>
        </w:trPr>
        <w:tc>
          <w:tcPr>
            <w:tcW w:w="572"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7</w:t>
            </w:r>
          </w:p>
        </w:tc>
        <w:tc>
          <w:tcPr>
            <w:tcW w:w="4410" w:type="dxa"/>
            <w:noWrap w:val="0"/>
            <w:vAlign w:val="center"/>
          </w:tcPr>
          <w:p>
            <w:pPr>
              <w:spacing w:line="320" w:lineRule="exact"/>
              <w:rPr>
                <w:rFonts w:hint="eastAsia" w:ascii="仿宋" w:hAnsi="仿宋" w:eastAsia="仿宋" w:cs="仿宋"/>
                <w:szCs w:val="21"/>
              </w:rPr>
            </w:pPr>
            <w:r>
              <w:rPr>
                <w:rFonts w:hint="eastAsia" w:ascii="仿宋" w:hAnsi="仿宋" w:eastAsia="仿宋" w:cs="仿宋"/>
                <w:b/>
                <w:bCs/>
                <w:szCs w:val="21"/>
              </w:rPr>
              <w:t>“三服四化”便民服务改革。</w:t>
            </w:r>
            <w:r>
              <w:rPr>
                <w:rFonts w:hint="eastAsia" w:ascii="仿宋" w:hAnsi="仿宋" w:eastAsia="仿宋" w:cs="仿宋"/>
                <w:szCs w:val="21"/>
              </w:rPr>
              <w:t>以“服务群众、服务民生、服务基层”为理念，通过建立清单化服务事项指南，制定标准化工作流程，配套智能化服务软硬件，设立中心下沉化的便民服务站等，构建新区、新城、街镇、村（社区）四级政务服务体系，实现“一站式服务、一门</w:t>
            </w:r>
            <w:r>
              <w:rPr>
                <w:rFonts w:hint="eastAsia" w:ascii="仿宋" w:hAnsi="仿宋" w:eastAsia="仿宋" w:cs="仿宋"/>
                <w:spacing w:val="-10"/>
                <w:szCs w:val="21"/>
              </w:rPr>
              <w:t>式办理”，“大事不出街镇、小事不出社区（村）”。</w:t>
            </w:r>
          </w:p>
        </w:tc>
        <w:tc>
          <w:tcPr>
            <w:tcW w:w="1995" w:type="dxa"/>
            <w:noWrap w:val="0"/>
            <w:vAlign w:val="center"/>
          </w:tcPr>
          <w:p>
            <w:pPr>
              <w:spacing w:line="320" w:lineRule="exact"/>
              <w:rPr>
                <w:rFonts w:hint="eastAsia" w:ascii="仿宋" w:hAnsi="仿宋" w:eastAsia="仿宋" w:cs="仿宋"/>
                <w:szCs w:val="21"/>
              </w:rPr>
            </w:pPr>
            <w:r>
              <w:rPr>
                <w:rFonts w:hint="eastAsia" w:ascii="仿宋" w:hAnsi="仿宋" w:eastAsia="仿宋" w:cs="仿宋"/>
                <w:szCs w:val="21"/>
              </w:rPr>
              <w:t>沣东新城功能区、空港新城功能区、秦汉新城功能区、能源金贸功能区</w:t>
            </w:r>
          </w:p>
        </w:tc>
        <w:tc>
          <w:tcPr>
            <w:tcW w:w="780"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全省</w:t>
            </w:r>
          </w:p>
        </w:tc>
        <w:tc>
          <w:tcPr>
            <w:tcW w:w="720"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推广</w:t>
            </w:r>
          </w:p>
        </w:tc>
        <w:tc>
          <w:tcPr>
            <w:tcW w:w="1168" w:type="dxa"/>
            <w:noWrap w:val="0"/>
            <w:vAlign w:val="center"/>
          </w:tcPr>
          <w:p>
            <w:pPr>
              <w:spacing w:line="320" w:lineRule="exact"/>
              <w:rPr>
                <w:rFonts w:hint="eastAsia" w:ascii="仿宋" w:hAnsi="仿宋" w:eastAsia="仿宋" w:cs="仿宋"/>
                <w:szCs w:val="21"/>
              </w:rPr>
            </w:pPr>
            <w:r>
              <w:rPr>
                <w:rFonts w:hint="eastAsia" w:ascii="仿宋" w:hAnsi="仿宋" w:eastAsia="仿宋" w:cs="仿宋"/>
                <w:szCs w:val="21"/>
              </w:rPr>
              <w:t>各市（区）政府（管委会）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80" w:hRule="atLeast"/>
          <w:jc w:val="center"/>
        </w:trPr>
        <w:tc>
          <w:tcPr>
            <w:tcW w:w="572"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8</w:t>
            </w:r>
          </w:p>
        </w:tc>
        <w:tc>
          <w:tcPr>
            <w:tcW w:w="4410" w:type="dxa"/>
            <w:noWrap w:val="0"/>
            <w:vAlign w:val="center"/>
          </w:tcPr>
          <w:p>
            <w:pPr>
              <w:spacing w:line="320" w:lineRule="exact"/>
              <w:rPr>
                <w:rFonts w:hint="eastAsia" w:ascii="仿宋" w:hAnsi="仿宋" w:eastAsia="仿宋" w:cs="仿宋"/>
                <w:szCs w:val="21"/>
              </w:rPr>
            </w:pPr>
            <w:r>
              <w:rPr>
                <w:rFonts w:hint="eastAsia" w:ascii="仿宋" w:hAnsi="仿宋" w:eastAsia="仿宋" w:cs="仿宋"/>
                <w:b/>
                <w:bCs/>
                <w:szCs w:val="21"/>
              </w:rPr>
              <w:t>全球云端零工创客共享服务平台。</w:t>
            </w:r>
            <w:r>
              <w:rPr>
                <w:rFonts w:hint="eastAsia" w:ascii="仿宋" w:hAnsi="仿宋" w:eastAsia="仿宋" w:cs="仿宋"/>
                <w:szCs w:val="21"/>
              </w:rPr>
              <w:t>零工在平台上展示自己的技能信息，企业根据需求购买服务，并签订第三方电子劳务合同，实现企业的服务需求和创业者的业务需求的精准匹配，达到用工方和劳动者的双赢。</w:t>
            </w:r>
          </w:p>
        </w:tc>
        <w:tc>
          <w:tcPr>
            <w:tcW w:w="1995" w:type="dxa"/>
            <w:noWrap w:val="0"/>
            <w:vAlign w:val="center"/>
          </w:tcPr>
          <w:p>
            <w:pPr>
              <w:spacing w:line="320" w:lineRule="exact"/>
              <w:rPr>
                <w:rFonts w:hint="eastAsia" w:ascii="仿宋" w:hAnsi="仿宋" w:eastAsia="仿宋" w:cs="仿宋"/>
                <w:szCs w:val="21"/>
              </w:rPr>
            </w:pPr>
            <w:r>
              <w:rPr>
                <w:rFonts w:hint="eastAsia" w:ascii="仿宋" w:hAnsi="仿宋" w:eastAsia="仿宋" w:cs="仿宋"/>
                <w:szCs w:val="21"/>
              </w:rPr>
              <w:t>秦汉新城功能区</w:t>
            </w:r>
          </w:p>
        </w:tc>
        <w:tc>
          <w:tcPr>
            <w:tcW w:w="780"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全省</w:t>
            </w:r>
          </w:p>
        </w:tc>
        <w:tc>
          <w:tcPr>
            <w:tcW w:w="720"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推广</w:t>
            </w:r>
          </w:p>
        </w:tc>
        <w:tc>
          <w:tcPr>
            <w:tcW w:w="1168" w:type="dxa"/>
            <w:noWrap w:val="0"/>
            <w:vAlign w:val="center"/>
          </w:tcPr>
          <w:p>
            <w:pPr>
              <w:spacing w:line="320" w:lineRule="exact"/>
              <w:rPr>
                <w:rFonts w:hint="eastAsia" w:ascii="仿宋" w:hAnsi="仿宋" w:eastAsia="仿宋" w:cs="仿宋"/>
                <w:szCs w:val="21"/>
              </w:rPr>
            </w:pPr>
            <w:r>
              <w:rPr>
                <w:rFonts w:hint="eastAsia" w:ascii="仿宋" w:hAnsi="仿宋" w:eastAsia="仿宋" w:cs="仿宋"/>
                <w:szCs w:val="21"/>
              </w:rPr>
              <w:t>省人力资源和社会保障厅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89" w:hRule="atLeast"/>
          <w:jc w:val="center"/>
        </w:trPr>
        <w:tc>
          <w:tcPr>
            <w:tcW w:w="572"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9</w:t>
            </w:r>
          </w:p>
        </w:tc>
        <w:tc>
          <w:tcPr>
            <w:tcW w:w="4410" w:type="dxa"/>
            <w:noWrap w:val="0"/>
            <w:vAlign w:val="center"/>
          </w:tcPr>
          <w:p>
            <w:pPr>
              <w:spacing w:line="320" w:lineRule="exact"/>
              <w:rPr>
                <w:rFonts w:hint="eastAsia" w:ascii="仿宋" w:hAnsi="仿宋" w:eastAsia="仿宋" w:cs="仿宋"/>
                <w:szCs w:val="21"/>
              </w:rPr>
            </w:pPr>
            <w:r>
              <w:rPr>
                <w:rFonts w:hint="eastAsia" w:ascii="仿宋" w:hAnsi="仿宋" w:eastAsia="仿宋" w:cs="仿宋"/>
                <w:b/>
                <w:bCs/>
                <w:szCs w:val="21"/>
              </w:rPr>
              <w:t>能源类特色供应链合作平台。</w:t>
            </w:r>
            <w:r>
              <w:rPr>
                <w:rFonts w:hint="eastAsia" w:ascii="仿宋" w:hAnsi="仿宋" w:eastAsia="仿宋" w:cs="仿宋"/>
                <w:szCs w:val="21"/>
                <w:lang w:val="en-GB"/>
              </w:rPr>
              <w:t>为能源类上下游企业走出去提供国际市场开发、技术合作、设备共享、金融服务等多元化服务，联合境内外企业组建联合体，实行订单联合获取后合理拆分，实现海外市场联动开发与共享，助力企业海外市场拓展与高质量发展。</w:t>
            </w:r>
          </w:p>
        </w:tc>
        <w:tc>
          <w:tcPr>
            <w:tcW w:w="1995" w:type="dxa"/>
            <w:noWrap w:val="0"/>
            <w:vAlign w:val="center"/>
          </w:tcPr>
          <w:p>
            <w:pPr>
              <w:spacing w:line="320" w:lineRule="exact"/>
              <w:rPr>
                <w:rFonts w:hint="eastAsia" w:ascii="仿宋" w:hAnsi="仿宋" w:eastAsia="仿宋" w:cs="仿宋"/>
                <w:szCs w:val="21"/>
              </w:rPr>
            </w:pPr>
            <w:r>
              <w:rPr>
                <w:rFonts w:hint="eastAsia" w:ascii="仿宋" w:hAnsi="仿宋" w:eastAsia="仿宋" w:cs="仿宋"/>
                <w:szCs w:val="21"/>
              </w:rPr>
              <w:t>能源金贸功能区</w:t>
            </w:r>
          </w:p>
        </w:tc>
        <w:tc>
          <w:tcPr>
            <w:tcW w:w="780"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全省</w:t>
            </w:r>
          </w:p>
        </w:tc>
        <w:tc>
          <w:tcPr>
            <w:tcW w:w="720"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推广</w:t>
            </w:r>
          </w:p>
        </w:tc>
        <w:tc>
          <w:tcPr>
            <w:tcW w:w="1168" w:type="dxa"/>
            <w:noWrap w:val="0"/>
            <w:vAlign w:val="center"/>
          </w:tcPr>
          <w:p>
            <w:pPr>
              <w:spacing w:line="320" w:lineRule="exact"/>
              <w:rPr>
                <w:rFonts w:hint="eastAsia" w:ascii="仿宋" w:hAnsi="仿宋" w:eastAsia="仿宋" w:cs="仿宋"/>
                <w:szCs w:val="21"/>
              </w:rPr>
            </w:pPr>
            <w:r>
              <w:rPr>
                <w:rFonts w:hint="eastAsia" w:ascii="仿宋" w:hAnsi="仿宋" w:eastAsia="仿宋" w:cs="仿宋"/>
                <w:szCs w:val="21"/>
              </w:rPr>
              <w:t>省商务厅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61" w:hRule="atLeast"/>
          <w:jc w:val="center"/>
        </w:trPr>
        <w:tc>
          <w:tcPr>
            <w:tcW w:w="572"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10</w:t>
            </w:r>
          </w:p>
        </w:tc>
        <w:tc>
          <w:tcPr>
            <w:tcW w:w="4410" w:type="dxa"/>
            <w:noWrap w:val="0"/>
            <w:vAlign w:val="center"/>
          </w:tcPr>
          <w:p>
            <w:pPr>
              <w:spacing w:line="320" w:lineRule="exact"/>
              <w:rPr>
                <w:rFonts w:hint="eastAsia" w:ascii="仿宋" w:hAnsi="仿宋" w:eastAsia="仿宋" w:cs="仿宋"/>
                <w:szCs w:val="21"/>
              </w:rPr>
            </w:pPr>
            <w:r>
              <w:rPr>
                <w:rFonts w:hint="eastAsia" w:ascii="仿宋" w:hAnsi="仿宋" w:eastAsia="仿宋" w:cs="仿宋"/>
                <w:b/>
                <w:bCs/>
                <w:szCs w:val="21"/>
              </w:rPr>
              <w:t>云端会展服务新模式。</w:t>
            </w:r>
            <w:r>
              <w:rPr>
                <w:rFonts w:hint="eastAsia" w:ascii="仿宋" w:hAnsi="仿宋" w:eastAsia="仿宋" w:cs="仿宋"/>
                <w:szCs w:val="21"/>
              </w:rPr>
              <w:t>打造云端会展平台，通过图片、视频、直播等形式对参展企业产品进行全方位、多角度、立体化展示，提供国际国内市场信息汇集、推介及贸易全链条服务，实现从会展“面对面”到“屏对屏”的转变。</w:t>
            </w:r>
          </w:p>
        </w:tc>
        <w:tc>
          <w:tcPr>
            <w:tcW w:w="1995" w:type="dxa"/>
            <w:noWrap w:val="0"/>
            <w:vAlign w:val="center"/>
          </w:tcPr>
          <w:p>
            <w:pPr>
              <w:spacing w:line="320" w:lineRule="exact"/>
              <w:rPr>
                <w:rFonts w:hint="eastAsia" w:ascii="仿宋" w:hAnsi="仿宋" w:eastAsia="仿宋" w:cs="仿宋"/>
                <w:szCs w:val="21"/>
              </w:rPr>
            </w:pPr>
            <w:r>
              <w:rPr>
                <w:rFonts w:hint="eastAsia" w:ascii="仿宋" w:hAnsi="仿宋" w:eastAsia="仿宋" w:cs="仿宋"/>
                <w:szCs w:val="21"/>
              </w:rPr>
              <w:t>能源金贸功能区</w:t>
            </w:r>
          </w:p>
        </w:tc>
        <w:tc>
          <w:tcPr>
            <w:tcW w:w="780"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全省</w:t>
            </w:r>
          </w:p>
        </w:tc>
        <w:tc>
          <w:tcPr>
            <w:tcW w:w="720"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推广</w:t>
            </w:r>
          </w:p>
        </w:tc>
        <w:tc>
          <w:tcPr>
            <w:tcW w:w="1168" w:type="dxa"/>
            <w:noWrap w:val="0"/>
            <w:vAlign w:val="center"/>
          </w:tcPr>
          <w:p>
            <w:pPr>
              <w:spacing w:line="320" w:lineRule="exact"/>
              <w:rPr>
                <w:rFonts w:hint="eastAsia" w:ascii="仿宋" w:hAnsi="仿宋" w:eastAsia="仿宋" w:cs="仿宋"/>
                <w:szCs w:val="21"/>
              </w:rPr>
            </w:pPr>
            <w:r>
              <w:rPr>
                <w:rFonts w:hint="eastAsia" w:ascii="仿宋" w:hAnsi="仿宋" w:eastAsia="仿宋" w:cs="仿宋"/>
                <w:szCs w:val="21"/>
              </w:rPr>
              <w:t>省商务厅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80" w:hRule="atLeast"/>
          <w:jc w:val="center"/>
        </w:trPr>
        <w:tc>
          <w:tcPr>
            <w:tcW w:w="572"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11</w:t>
            </w:r>
          </w:p>
        </w:tc>
        <w:tc>
          <w:tcPr>
            <w:tcW w:w="4410" w:type="dxa"/>
            <w:noWrap w:val="0"/>
            <w:vAlign w:val="center"/>
          </w:tcPr>
          <w:p>
            <w:pPr>
              <w:spacing w:line="320" w:lineRule="exact"/>
              <w:rPr>
                <w:rFonts w:hint="eastAsia" w:ascii="仿宋" w:hAnsi="仿宋" w:eastAsia="仿宋" w:cs="仿宋"/>
                <w:szCs w:val="21"/>
              </w:rPr>
            </w:pPr>
            <w:r>
              <w:rPr>
                <w:rFonts w:hint="eastAsia" w:ascii="仿宋" w:hAnsi="仿宋" w:eastAsia="仿宋" w:cs="仿宋"/>
                <w:b/>
                <w:bCs/>
                <w:szCs w:val="21"/>
              </w:rPr>
              <w:t>“一带一路”外经贸综合服务平台。</w:t>
            </w:r>
            <w:r>
              <w:rPr>
                <w:rFonts w:hint="eastAsia" w:ascii="仿宋" w:hAnsi="仿宋" w:eastAsia="仿宋" w:cs="仿宋"/>
                <w:szCs w:val="21"/>
              </w:rPr>
              <w:t>平台整合“一带一路”沿线国家商贸资源，针对企业“走出去”过程中在法律、政策、语言、投资环境方面遇到的困难，为企业提供经贸咨询、“走出去”培训、商品展示与洽谈等“一站式”服务。</w:t>
            </w:r>
          </w:p>
        </w:tc>
        <w:tc>
          <w:tcPr>
            <w:tcW w:w="1995" w:type="dxa"/>
            <w:noWrap w:val="0"/>
            <w:vAlign w:val="center"/>
          </w:tcPr>
          <w:p>
            <w:pPr>
              <w:spacing w:line="320" w:lineRule="exact"/>
              <w:rPr>
                <w:rFonts w:hint="eastAsia" w:ascii="仿宋" w:hAnsi="仿宋" w:eastAsia="仿宋" w:cs="仿宋"/>
                <w:szCs w:val="21"/>
              </w:rPr>
            </w:pPr>
            <w:r>
              <w:rPr>
                <w:rFonts w:hint="eastAsia" w:ascii="仿宋" w:hAnsi="仿宋" w:eastAsia="仿宋" w:cs="仿宋"/>
                <w:szCs w:val="21"/>
              </w:rPr>
              <w:t>浐灞生态区功能区</w:t>
            </w:r>
          </w:p>
        </w:tc>
        <w:tc>
          <w:tcPr>
            <w:tcW w:w="780"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全省</w:t>
            </w:r>
          </w:p>
        </w:tc>
        <w:tc>
          <w:tcPr>
            <w:tcW w:w="720"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推广</w:t>
            </w:r>
          </w:p>
        </w:tc>
        <w:tc>
          <w:tcPr>
            <w:tcW w:w="1168" w:type="dxa"/>
            <w:noWrap w:val="0"/>
            <w:vAlign w:val="center"/>
          </w:tcPr>
          <w:p>
            <w:pPr>
              <w:spacing w:line="320" w:lineRule="exact"/>
              <w:rPr>
                <w:rFonts w:hint="eastAsia" w:ascii="仿宋" w:hAnsi="仿宋" w:eastAsia="仿宋" w:cs="仿宋"/>
                <w:szCs w:val="21"/>
              </w:rPr>
            </w:pPr>
            <w:r>
              <w:rPr>
                <w:rFonts w:hint="eastAsia" w:ascii="仿宋" w:hAnsi="仿宋" w:eastAsia="仿宋" w:cs="仿宋"/>
                <w:szCs w:val="21"/>
              </w:rPr>
              <w:t>省商务厅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80" w:hRule="atLeast"/>
          <w:jc w:val="center"/>
        </w:trPr>
        <w:tc>
          <w:tcPr>
            <w:tcW w:w="572"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12</w:t>
            </w:r>
          </w:p>
        </w:tc>
        <w:tc>
          <w:tcPr>
            <w:tcW w:w="4410" w:type="dxa"/>
            <w:noWrap w:val="0"/>
            <w:vAlign w:val="center"/>
          </w:tcPr>
          <w:p>
            <w:pPr>
              <w:spacing w:line="320" w:lineRule="exact"/>
              <w:rPr>
                <w:rFonts w:hint="eastAsia" w:ascii="仿宋" w:hAnsi="仿宋" w:eastAsia="仿宋" w:cs="仿宋"/>
                <w:szCs w:val="21"/>
              </w:rPr>
            </w:pPr>
            <w:r>
              <w:rPr>
                <w:rFonts w:hint="eastAsia" w:ascii="仿宋" w:hAnsi="仿宋" w:eastAsia="仿宋" w:cs="仿宋"/>
                <w:b/>
                <w:bCs/>
                <w:spacing w:val="-2"/>
                <w:szCs w:val="21"/>
              </w:rPr>
              <w:t>线上贸易云服务模式。</w:t>
            </w:r>
            <w:r>
              <w:rPr>
                <w:rFonts w:hint="eastAsia" w:ascii="仿宋" w:hAnsi="仿宋" w:eastAsia="仿宋" w:cs="仿宋"/>
                <w:spacing w:val="-2"/>
                <w:szCs w:val="21"/>
              </w:rPr>
              <w:t>搭建线上国际贸易平台，推出国际货物贸易“视频采购订单+双向担保”模式，国内货物销售方与国外采购方通过视频会议进行跨国采购，由双方在对方国内的子公司作为担保确保交易顺利进行，大幅节省供需双方采购成本。</w:t>
            </w:r>
          </w:p>
        </w:tc>
        <w:tc>
          <w:tcPr>
            <w:tcW w:w="1995" w:type="dxa"/>
            <w:noWrap w:val="0"/>
            <w:vAlign w:val="center"/>
          </w:tcPr>
          <w:p>
            <w:pPr>
              <w:spacing w:line="320" w:lineRule="exact"/>
              <w:rPr>
                <w:rFonts w:hint="eastAsia" w:ascii="仿宋" w:hAnsi="仿宋" w:eastAsia="仿宋" w:cs="仿宋"/>
                <w:szCs w:val="21"/>
              </w:rPr>
            </w:pPr>
            <w:r>
              <w:rPr>
                <w:rFonts w:hint="eastAsia" w:ascii="仿宋" w:hAnsi="仿宋" w:eastAsia="仿宋" w:cs="仿宋"/>
                <w:szCs w:val="21"/>
              </w:rPr>
              <w:t>沣东新城功能区</w:t>
            </w:r>
          </w:p>
        </w:tc>
        <w:tc>
          <w:tcPr>
            <w:tcW w:w="780"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全省</w:t>
            </w:r>
          </w:p>
        </w:tc>
        <w:tc>
          <w:tcPr>
            <w:tcW w:w="720"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推广</w:t>
            </w:r>
          </w:p>
        </w:tc>
        <w:tc>
          <w:tcPr>
            <w:tcW w:w="1168" w:type="dxa"/>
            <w:noWrap w:val="0"/>
            <w:vAlign w:val="center"/>
          </w:tcPr>
          <w:p>
            <w:pPr>
              <w:spacing w:line="320" w:lineRule="exact"/>
              <w:rPr>
                <w:rFonts w:hint="eastAsia" w:ascii="仿宋" w:hAnsi="仿宋" w:eastAsia="仿宋" w:cs="仿宋"/>
                <w:szCs w:val="21"/>
              </w:rPr>
            </w:pPr>
            <w:r>
              <w:rPr>
                <w:rFonts w:hint="eastAsia" w:ascii="仿宋" w:hAnsi="仿宋" w:eastAsia="仿宋" w:cs="仿宋"/>
                <w:szCs w:val="21"/>
              </w:rPr>
              <w:t>省商务厅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80" w:hRule="atLeast"/>
          <w:jc w:val="center"/>
        </w:trPr>
        <w:tc>
          <w:tcPr>
            <w:tcW w:w="572"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13</w:t>
            </w:r>
          </w:p>
        </w:tc>
        <w:tc>
          <w:tcPr>
            <w:tcW w:w="4410" w:type="dxa"/>
            <w:noWrap w:val="0"/>
            <w:vAlign w:val="center"/>
          </w:tcPr>
          <w:p>
            <w:pPr>
              <w:spacing w:line="320" w:lineRule="exact"/>
              <w:rPr>
                <w:rFonts w:hint="eastAsia" w:ascii="仿宋" w:hAnsi="仿宋" w:eastAsia="仿宋" w:cs="仿宋"/>
                <w:szCs w:val="21"/>
              </w:rPr>
            </w:pPr>
            <w:r>
              <w:rPr>
                <w:rFonts w:hint="eastAsia" w:ascii="仿宋" w:hAnsi="仿宋" w:eastAsia="仿宋" w:cs="仿宋"/>
                <w:b/>
                <w:bCs/>
                <w:szCs w:val="21"/>
              </w:rPr>
              <w:t>农业生物资产动态估值浮动抵押贷款。</w:t>
            </w:r>
            <w:r>
              <w:rPr>
                <w:rFonts w:hint="eastAsia" w:ascii="仿宋" w:hAnsi="仿宋" w:eastAsia="仿宋" w:cs="仿宋"/>
                <w:szCs w:val="21"/>
              </w:rPr>
              <w:t>将活体生物作为抵押物，通过对其各个生长阶段精准估值，转化为银行认可的“标准抵押物”，以评估价值为依据向农户授信，将农户的生物资产转变为发展资本，有效解决了种养殖业“融资难”问题。</w:t>
            </w:r>
          </w:p>
        </w:tc>
        <w:tc>
          <w:tcPr>
            <w:tcW w:w="1995" w:type="dxa"/>
            <w:noWrap w:val="0"/>
            <w:vAlign w:val="center"/>
          </w:tcPr>
          <w:p>
            <w:pPr>
              <w:spacing w:line="320" w:lineRule="exact"/>
              <w:rPr>
                <w:rFonts w:hint="eastAsia" w:ascii="仿宋" w:hAnsi="仿宋" w:eastAsia="仿宋" w:cs="仿宋"/>
                <w:szCs w:val="21"/>
              </w:rPr>
            </w:pPr>
            <w:r>
              <w:rPr>
                <w:rFonts w:hint="eastAsia" w:ascii="仿宋" w:hAnsi="仿宋" w:eastAsia="仿宋" w:cs="仿宋"/>
                <w:szCs w:val="21"/>
              </w:rPr>
              <w:t>杨凌示范区管委会</w:t>
            </w:r>
          </w:p>
        </w:tc>
        <w:tc>
          <w:tcPr>
            <w:tcW w:w="780"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全省</w:t>
            </w:r>
          </w:p>
        </w:tc>
        <w:tc>
          <w:tcPr>
            <w:tcW w:w="720"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推广</w:t>
            </w:r>
          </w:p>
        </w:tc>
        <w:tc>
          <w:tcPr>
            <w:tcW w:w="1168" w:type="dxa"/>
            <w:noWrap w:val="0"/>
            <w:vAlign w:val="center"/>
          </w:tcPr>
          <w:p>
            <w:pPr>
              <w:spacing w:line="320" w:lineRule="exact"/>
              <w:rPr>
                <w:rFonts w:hint="eastAsia" w:ascii="仿宋" w:hAnsi="仿宋" w:eastAsia="仿宋" w:cs="仿宋"/>
                <w:szCs w:val="21"/>
              </w:rPr>
            </w:pPr>
            <w:r>
              <w:rPr>
                <w:rFonts w:hint="eastAsia" w:ascii="仿宋" w:hAnsi="仿宋" w:eastAsia="仿宋" w:cs="仿宋"/>
                <w:szCs w:val="21"/>
              </w:rPr>
              <w:t>人民银行西安分行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80" w:hRule="atLeast"/>
          <w:jc w:val="center"/>
        </w:trPr>
        <w:tc>
          <w:tcPr>
            <w:tcW w:w="572"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14</w:t>
            </w:r>
          </w:p>
        </w:tc>
        <w:tc>
          <w:tcPr>
            <w:tcW w:w="4410" w:type="dxa"/>
            <w:noWrap w:val="0"/>
            <w:vAlign w:val="center"/>
          </w:tcPr>
          <w:p>
            <w:pPr>
              <w:spacing w:line="320" w:lineRule="exact"/>
              <w:rPr>
                <w:rFonts w:hint="eastAsia" w:ascii="仿宋" w:hAnsi="仿宋" w:eastAsia="仿宋" w:cs="仿宋"/>
                <w:szCs w:val="21"/>
                <w:lang w:val="en-GB"/>
              </w:rPr>
            </w:pPr>
            <w:r>
              <w:rPr>
                <w:rFonts w:hint="eastAsia" w:ascii="仿宋" w:hAnsi="仿宋" w:eastAsia="仿宋" w:cs="仿宋"/>
                <w:b/>
                <w:bCs/>
                <w:szCs w:val="21"/>
              </w:rPr>
              <w:t>“一带一路”法律服务创新中心。</w:t>
            </w:r>
            <w:r>
              <w:rPr>
                <w:rFonts w:hint="eastAsia" w:ascii="仿宋" w:hAnsi="仿宋" w:eastAsia="仿宋" w:cs="仿宋"/>
                <w:szCs w:val="21"/>
              </w:rPr>
              <w:t>聚焦项目对接、风险化解、纠纷调解等多重功能，与“一带一路”沿线80多个国家和地区以及国内60余家法律服务机构开展合作，为企业“走出去”提供投资政策、法律咨询、金融保险、风险防范、信息共享、外国法查询及数字法律等一体化服务。</w:t>
            </w:r>
          </w:p>
        </w:tc>
        <w:tc>
          <w:tcPr>
            <w:tcW w:w="1995" w:type="dxa"/>
            <w:noWrap w:val="0"/>
            <w:vAlign w:val="center"/>
          </w:tcPr>
          <w:p>
            <w:pPr>
              <w:spacing w:line="320" w:lineRule="exact"/>
              <w:rPr>
                <w:rFonts w:hint="eastAsia" w:ascii="仿宋" w:hAnsi="仿宋" w:eastAsia="仿宋" w:cs="仿宋"/>
                <w:szCs w:val="21"/>
              </w:rPr>
            </w:pPr>
            <w:r>
              <w:rPr>
                <w:rFonts w:hint="eastAsia" w:ascii="仿宋" w:hAnsi="仿宋" w:eastAsia="仿宋" w:cs="仿宋"/>
                <w:szCs w:val="21"/>
              </w:rPr>
              <w:t>能源金贸功能区</w:t>
            </w:r>
          </w:p>
        </w:tc>
        <w:tc>
          <w:tcPr>
            <w:tcW w:w="780"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全省</w:t>
            </w:r>
          </w:p>
        </w:tc>
        <w:tc>
          <w:tcPr>
            <w:tcW w:w="720"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推广</w:t>
            </w:r>
          </w:p>
        </w:tc>
        <w:tc>
          <w:tcPr>
            <w:tcW w:w="1168" w:type="dxa"/>
            <w:noWrap w:val="0"/>
            <w:vAlign w:val="center"/>
          </w:tcPr>
          <w:p>
            <w:pPr>
              <w:spacing w:line="320" w:lineRule="exact"/>
              <w:rPr>
                <w:rFonts w:hint="eastAsia" w:ascii="仿宋" w:hAnsi="仿宋" w:eastAsia="仿宋" w:cs="仿宋"/>
                <w:szCs w:val="21"/>
              </w:rPr>
            </w:pPr>
            <w:r>
              <w:rPr>
                <w:rFonts w:hint="eastAsia" w:ascii="仿宋" w:hAnsi="仿宋" w:eastAsia="仿宋" w:cs="仿宋"/>
                <w:szCs w:val="21"/>
              </w:rPr>
              <w:t>省司法厅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80" w:hRule="atLeast"/>
          <w:jc w:val="center"/>
        </w:trPr>
        <w:tc>
          <w:tcPr>
            <w:tcW w:w="572"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15</w:t>
            </w:r>
          </w:p>
        </w:tc>
        <w:tc>
          <w:tcPr>
            <w:tcW w:w="4410" w:type="dxa"/>
            <w:noWrap w:val="0"/>
            <w:vAlign w:val="center"/>
          </w:tcPr>
          <w:p>
            <w:pPr>
              <w:spacing w:line="320" w:lineRule="exact"/>
              <w:rPr>
                <w:rFonts w:hint="eastAsia" w:ascii="仿宋" w:hAnsi="仿宋" w:eastAsia="仿宋" w:cs="仿宋"/>
                <w:szCs w:val="21"/>
              </w:rPr>
            </w:pPr>
            <w:r>
              <w:rPr>
                <w:rFonts w:hint="eastAsia" w:ascii="仿宋" w:hAnsi="仿宋" w:eastAsia="仿宋" w:cs="仿宋"/>
                <w:b/>
                <w:bCs/>
                <w:szCs w:val="21"/>
              </w:rPr>
              <w:t>进口快件智慧监管模式。</w:t>
            </w:r>
            <w:r>
              <w:rPr>
                <w:rFonts w:hint="eastAsia" w:ascii="仿宋" w:hAnsi="仿宋" w:eastAsia="仿宋" w:cs="仿宋"/>
                <w:szCs w:val="21"/>
              </w:rPr>
              <w:t>海关系统无缝对接国际快件国内段承运人及互联网快件跟踪服务平台，实现申报信息、收发件人信息等数据互联互通，将进口快件国内物流信息与企业申报基础数据进行比对，核实收件信息真实性并进行数据分析，有效甄别虚假申报等违规行为。</w:t>
            </w:r>
          </w:p>
        </w:tc>
        <w:tc>
          <w:tcPr>
            <w:tcW w:w="1995" w:type="dxa"/>
            <w:noWrap w:val="0"/>
            <w:vAlign w:val="center"/>
          </w:tcPr>
          <w:p>
            <w:pPr>
              <w:spacing w:line="320" w:lineRule="exact"/>
              <w:rPr>
                <w:rFonts w:hint="eastAsia" w:ascii="仿宋" w:hAnsi="仿宋" w:eastAsia="仿宋" w:cs="仿宋"/>
                <w:szCs w:val="21"/>
              </w:rPr>
            </w:pPr>
            <w:r>
              <w:rPr>
                <w:rFonts w:hint="eastAsia" w:ascii="仿宋" w:hAnsi="仿宋" w:eastAsia="仿宋" w:cs="仿宋"/>
                <w:szCs w:val="21"/>
              </w:rPr>
              <w:t>空港新城功能区</w:t>
            </w:r>
          </w:p>
        </w:tc>
        <w:tc>
          <w:tcPr>
            <w:tcW w:w="780"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海关</w:t>
            </w:r>
          </w:p>
          <w:p>
            <w:pPr>
              <w:spacing w:line="320" w:lineRule="exact"/>
              <w:jc w:val="center"/>
              <w:rPr>
                <w:rFonts w:hint="eastAsia" w:ascii="仿宋" w:hAnsi="仿宋" w:eastAsia="仿宋" w:cs="仿宋"/>
                <w:szCs w:val="21"/>
              </w:rPr>
            </w:pPr>
            <w:r>
              <w:rPr>
                <w:rFonts w:hint="eastAsia" w:ascii="仿宋" w:hAnsi="仿宋" w:eastAsia="仿宋" w:cs="仿宋"/>
                <w:szCs w:val="21"/>
              </w:rPr>
              <w:t>特殊</w:t>
            </w:r>
          </w:p>
          <w:p>
            <w:pPr>
              <w:spacing w:line="320" w:lineRule="exact"/>
              <w:jc w:val="center"/>
              <w:rPr>
                <w:rFonts w:hint="eastAsia" w:ascii="仿宋" w:hAnsi="仿宋" w:eastAsia="仿宋" w:cs="仿宋"/>
                <w:szCs w:val="21"/>
              </w:rPr>
            </w:pPr>
            <w:r>
              <w:rPr>
                <w:rFonts w:hint="eastAsia" w:ascii="仿宋" w:hAnsi="仿宋" w:eastAsia="仿宋" w:cs="仿宋"/>
                <w:szCs w:val="21"/>
              </w:rPr>
              <w:t>监管</w:t>
            </w:r>
          </w:p>
          <w:p>
            <w:pPr>
              <w:spacing w:line="320" w:lineRule="exact"/>
              <w:jc w:val="center"/>
              <w:rPr>
                <w:rFonts w:hint="eastAsia" w:ascii="仿宋" w:hAnsi="仿宋" w:eastAsia="仿宋" w:cs="仿宋"/>
                <w:szCs w:val="21"/>
              </w:rPr>
            </w:pPr>
            <w:r>
              <w:rPr>
                <w:rFonts w:hint="eastAsia" w:ascii="仿宋" w:hAnsi="仿宋" w:eastAsia="仿宋" w:cs="仿宋"/>
                <w:szCs w:val="21"/>
              </w:rPr>
              <w:t>区</w:t>
            </w:r>
          </w:p>
        </w:tc>
        <w:tc>
          <w:tcPr>
            <w:tcW w:w="720"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复制</w:t>
            </w:r>
          </w:p>
        </w:tc>
        <w:tc>
          <w:tcPr>
            <w:tcW w:w="1168" w:type="dxa"/>
            <w:noWrap w:val="0"/>
            <w:vAlign w:val="center"/>
          </w:tcPr>
          <w:p>
            <w:pPr>
              <w:spacing w:line="320" w:lineRule="exact"/>
              <w:rPr>
                <w:rFonts w:hint="eastAsia" w:ascii="仿宋" w:hAnsi="仿宋" w:eastAsia="仿宋" w:cs="仿宋"/>
                <w:szCs w:val="21"/>
              </w:rPr>
            </w:pPr>
            <w:r>
              <w:rPr>
                <w:rFonts w:hint="eastAsia" w:ascii="仿宋" w:hAnsi="仿宋" w:eastAsia="仿宋" w:cs="仿宋"/>
                <w:szCs w:val="21"/>
              </w:rPr>
              <w:t>西安海关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14" w:hRule="atLeast"/>
          <w:jc w:val="center"/>
        </w:trPr>
        <w:tc>
          <w:tcPr>
            <w:tcW w:w="572"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16</w:t>
            </w:r>
          </w:p>
        </w:tc>
        <w:tc>
          <w:tcPr>
            <w:tcW w:w="4410" w:type="dxa"/>
            <w:noWrap w:val="0"/>
            <w:vAlign w:val="center"/>
          </w:tcPr>
          <w:p>
            <w:pPr>
              <w:spacing w:line="320" w:lineRule="exact"/>
              <w:rPr>
                <w:rFonts w:hint="eastAsia" w:ascii="仿宋" w:hAnsi="仿宋" w:eastAsia="仿宋" w:cs="仿宋"/>
                <w:szCs w:val="21"/>
              </w:rPr>
            </w:pPr>
            <w:r>
              <w:rPr>
                <w:rFonts w:hint="eastAsia" w:ascii="仿宋" w:hAnsi="仿宋" w:eastAsia="仿宋" w:cs="仿宋"/>
                <w:b/>
                <w:bCs/>
                <w:szCs w:val="21"/>
              </w:rPr>
              <w:t>加工贸易“云核销”监管新模式。</w:t>
            </w:r>
            <w:r>
              <w:rPr>
                <w:rFonts w:hint="eastAsia" w:ascii="仿宋" w:hAnsi="仿宋" w:eastAsia="仿宋" w:cs="仿宋"/>
                <w:szCs w:val="21"/>
              </w:rPr>
              <w:t>借助信息化系统，将海关“折料”核算工作全部交由系统完成，企业只需在客户端录入保税货物盘点的实际数量即可完成“云核销”，并生成账册报核报文自动发送到“单一窗口”实现数据一次录入，显著提升作业效率和监管透明度。</w:t>
            </w:r>
          </w:p>
        </w:tc>
        <w:tc>
          <w:tcPr>
            <w:tcW w:w="1995" w:type="dxa"/>
            <w:noWrap w:val="0"/>
            <w:vAlign w:val="center"/>
          </w:tcPr>
          <w:p>
            <w:pPr>
              <w:spacing w:line="320" w:lineRule="exact"/>
              <w:rPr>
                <w:rFonts w:hint="eastAsia" w:ascii="仿宋" w:hAnsi="仿宋" w:eastAsia="仿宋" w:cs="仿宋"/>
                <w:szCs w:val="21"/>
              </w:rPr>
            </w:pPr>
            <w:r>
              <w:rPr>
                <w:rFonts w:hint="eastAsia" w:ascii="仿宋" w:hAnsi="仿宋" w:eastAsia="仿宋" w:cs="仿宋"/>
                <w:szCs w:val="21"/>
              </w:rPr>
              <w:t>经开区功能区</w:t>
            </w:r>
          </w:p>
        </w:tc>
        <w:tc>
          <w:tcPr>
            <w:tcW w:w="780"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海关</w:t>
            </w:r>
          </w:p>
          <w:p>
            <w:pPr>
              <w:spacing w:line="320" w:lineRule="exact"/>
              <w:jc w:val="center"/>
              <w:rPr>
                <w:rFonts w:hint="eastAsia" w:ascii="仿宋" w:hAnsi="仿宋" w:eastAsia="仿宋" w:cs="仿宋"/>
                <w:szCs w:val="21"/>
              </w:rPr>
            </w:pPr>
            <w:r>
              <w:rPr>
                <w:rFonts w:hint="eastAsia" w:ascii="仿宋" w:hAnsi="仿宋" w:eastAsia="仿宋" w:cs="仿宋"/>
                <w:szCs w:val="21"/>
              </w:rPr>
              <w:t>特殊</w:t>
            </w:r>
          </w:p>
          <w:p>
            <w:pPr>
              <w:spacing w:line="320" w:lineRule="exact"/>
              <w:jc w:val="center"/>
              <w:rPr>
                <w:rFonts w:hint="eastAsia" w:ascii="仿宋" w:hAnsi="仿宋" w:eastAsia="仿宋" w:cs="仿宋"/>
                <w:szCs w:val="21"/>
              </w:rPr>
            </w:pPr>
            <w:r>
              <w:rPr>
                <w:rFonts w:hint="eastAsia" w:ascii="仿宋" w:hAnsi="仿宋" w:eastAsia="仿宋" w:cs="仿宋"/>
                <w:szCs w:val="21"/>
              </w:rPr>
              <w:t>监管</w:t>
            </w:r>
          </w:p>
          <w:p>
            <w:pPr>
              <w:spacing w:line="320" w:lineRule="exact"/>
              <w:jc w:val="center"/>
              <w:rPr>
                <w:rFonts w:hint="eastAsia" w:ascii="仿宋" w:hAnsi="仿宋" w:eastAsia="仿宋" w:cs="仿宋"/>
                <w:szCs w:val="21"/>
              </w:rPr>
            </w:pPr>
            <w:r>
              <w:rPr>
                <w:rFonts w:hint="eastAsia" w:ascii="仿宋" w:hAnsi="仿宋" w:eastAsia="仿宋" w:cs="仿宋"/>
                <w:szCs w:val="21"/>
              </w:rPr>
              <w:t>区</w:t>
            </w:r>
          </w:p>
        </w:tc>
        <w:tc>
          <w:tcPr>
            <w:tcW w:w="720"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复制</w:t>
            </w:r>
          </w:p>
        </w:tc>
        <w:tc>
          <w:tcPr>
            <w:tcW w:w="1168" w:type="dxa"/>
            <w:noWrap w:val="0"/>
            <w:vAlign w:val="center"/>
          </w:tcPr>
          <w:p>
            <w:pPr>
              <w:spacing w:line="320" w:lineRule="exact"/>
              <w:rPr>
                <w:rFonts w:hint="eastAsia" w:ascii="仿宋" w:hAnsi="仿宋" w:eastAsia="仿宋" w:cs="仿宋"/>
                <w:szCs w:val="21"/>
              </w:rPr>
            </w:pPr>
            <w:r>
              <w:rPr>
                <w:rFonts w:hint="eastAsia" w:ascii="仿宋" w:hAnsi="仿宋" w:eastAsia="仿宋" w:cs="仿宋"/>
                <w:szCs w:val="21"/>
              </w:rPr>
              <w:t>西安海关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25" w:hRule="atLeast"/>
          <w:jc w:val="center"/>
        </w:trPr>
        <w:tc>
          <w:tcPr>
            <w:tcW w:w="572"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17</w:t>
            </w:r>
          </w:p>
        </w:tc>
        <w:tc>
          <w:tcPr>
            <w:tcW w:w="4410" w:type="dxa"/>
            <w:noWrap w:val="0"/>
            <w:vAlign w:val="center"/>
          </w:tcPr>
          <w:p>
            <w:pPr>
              <w:spacing w:line="320" w:lineRule="exact"/>
              <w:rPr>
                <w:rFonts w:hint="eastAsia" w:ascii="仿宋" w:hAnsi="仿宋" w:eastAsia="仿宋" w:cs="仿宋"/>
                <w:szCs w:val="21"/>
              </w:rPr>
            </w:pPr>
            <w:r>
              <w:rPr>
                <w:rFonts w:hint="eastAsia" w:ascii="仿宋" w:hAnsi="仿宋" w:eastAsia="仿宋" w:cs="仿宋"/>
                <w:b/>
                <w:bCs/>
                <w:szCs w:val="21"/>
              </w:rPr>
              <w:t>海关出境危险货物包装监管新模式。</w:t>
            </w:r>
            <w:r>
              <w:rPr>
                <w:rFonts w:hint="eastAsia" w:ascii="仿宋" w:hAnsi="仿宋" w:eastAsia="仿宋" w:cs="仿宋"/>
                <w:szCs w:val="21"/>
              </w:rPr>
              <w:t>企业采集出境危险货物及其包装的相关电子影像信息（货物照片、视频等），发送至海关审核并留档备查，海关审核无误后，即为企业出具《出境危险货物包装使用鉴定结果单》，每票货物出证时间较原来节省90个小时，显著降低企业成本。</w:t>
            </w:r>
          </w:p>
        </w:tc>
        <w:tc>
          <w:tcPr>
            <w:tcW w:w="1995" w:type="dxa"/>
            <w:noWrap w:val="0"/>
            <w:vAlign w:val="center"/>
          </w:tcPr>
          <w:p>
            <w:pPr>
              <w:spacing w:line="320" w:lineRule="exact"/>
              <w:rPr>
                <w:rFonts w:hint="eastAsia" w:ascii="仿宋" w:hAnsi="仿宋" w:eastAsia="仿宋" w:cs="仿宋"/>
                <w:szCs w:val="21"/>
              </w:rPr>
            </w:pPr>
            <w:r>
              <w:rPr>
                <w:rFonts w:hint="eastAsia" w:ascii="仿宋" w:hAnsi="仿宋" w:eastAsia="仿宋" w:cs="仿宋"/>
                <w:szCs w:val="21"/>
              </w:rPr>
              <w:t>高新区功能区</w:t>
            </w:r>
          </w:p>
        </w:tc>
        <w:tc>
          <w:tcPr>
            <w:tcW w:w="780"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海关</w:t>
            </w:r>
          </w:p>
          <w:p>
            <w:pPr>
              <w:spacing w:line="320" w:lineRule="exact"/>
              <w:jc w:val="center"/>
              <w:rPr>
                <w:rFonts w:hint="eastAsia" w:ascii="仿宋" w:hAnsi="仿宋" w:eastAsia="仿宋" w:cs="仿宋"/>
                <w:szCs w:val="21"/>
              </w:rPr>
            </w:pPr>
            <w:r>
              <w:rPr>
                <w:rFonts w:hint="eastAsia" w:ascii="仿宋" w:hAnsi="仿宋" w:eastAsia="仿宋" w:cs="仿宋"/>
                <w:szCs w:val="21"/>
              </w:rPr>
              <w:t>特殊</w:t>
            </w:r>
          </w:p>
          <w:p>
            <w:pPr>
              <w:spacing w:line="320" w:lineRule="exact"/>
              <w:jc w:val="center"/>
              <w:rPr>
                <w:rFonts w:hint="eastAsia" w:ascii="仿宋" w:hAnsi="仿宋" w:eastAsia="仿宋" w:cs="仿宋"/>
                <w:szCs w:val="21"/>
              </w:rPr>
            </w:pPr>
            <w:r>
              <w:rPr>
                <w:rFonts w:hint="eastAsia" w:ascii="仿宋" w:hAnsi="仿宋" w:eastAsia="仿宋" w:cs="仿宋"/>
                <w:szCs w:val="21"/>
              </w:rPr>
              <w:t>监管</w:t>
            </w:r>
          </w:p>
          <w:p>
            <w:pPr>
              <w:spacing w:line="320" w:lineRule="exact"/>
              <w:jc w:val="center"/>
              <w:rPr>
                <w:rFonts w:hint="eastAsia" w:ascii="仿宋" w:hAnsi="仿宋" w:eastAsia="仿宋" w:cs="仿宋"/>
                <w:szCs w:val="21"/>
              </w:rPr>
            </w:pPr>
            <w:r>
              <w:rPr>
                <w:rFonts w:hint="eastAsia" w:ascii="仿宋" w:hAnsi="仿宋" w:eastAsia="仿宋" w:cs="仿宋"/>
                <w:szCs w:val="21"/>
              </w:rPr>
              <w:t>区</w:t>
            </w:r>
          </w:p>
        </w:tc>
        <w:tc>
          <w:tcPr>
            <w:tcW w:w="720"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复制</w:t>
            </w:r>
          </w:p>
        </w:tc>
        <w:tc>
          <w:tcPr>
            <w:tcW w:w="1168" w:type="dxa"/>
            <w:noWrap w:val="0"/>
            <w:vAlign w:val="center"/>
          </w:tcPr>
          <w:p>
            <w:pPr>
              <w:spacing w:line="320" w:lineRule="exact"/>
              <w:rPr>
                <w:rFonts w:hint="eastAsia" w:ascii="仿宋" w:hAnsi="仿宋" w:eastAsia="仿宋" w:cs="仿宋"/>
                <w:szCs w:val="21"/>
              </w:rPr>
            </w:pPr>
            <w:r>
              <w:rPr>
                <w:rFonts w:hint="eastAsia" w:ascii="仿宋" w:hAnsi="仿宋" w:eastAsia="仿宋" w:cs="仿宋"/>
                <w:szCs w:val="21"/>
              </w:rPr>
              <w:t>西安海关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82" w:hRule="atLeast"/>
          <w:jc w:val="center"/>
        </w:trPr>
        <w:tc>
          <w:tcPr>
            <w:tcW w:w="572"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18</w:t>
            </w:r>
          </w:p>
        </w:tc>
        <w:tc>
          <w:tcPr>
            <w:tcW w:w="4410" w:type="dxa"/>
            <w:noWrap w:val="0"/>
            <w:vAlign w:val="center"/>
          </w:tcPr>
          <w:p>
            <w:pPr>
              <w:spacing w:line="320" w:lineRule="exact"/>
              <w:rPr>
                <w:rFonts w:hint="eastAsia" w:ascii="仿宋" w:hAnsi="仿宋" w:eastAsia="仿宋" w:cs="仿宋"/>
                <w:szCs w:val="21"/>
              </w:rPr>
            </w:pPr>
            <w:r>
              <w:rPr>
                <w:rFonts w:hint="eastAsia" w:ascii="仿宋" w:hAnsi="仿宋" w:eastAsia="仿宋" w:cs="仿宋"/>
                <w:b/>
                <w:bCs/>
                <w:szCs w:val="21"/>
              </w:rPr>
              <w:t>保税仓库“一仓多用”。</w:t>
            </w:r>
            <w:r>
              <w:rPr>
                <w:rFonts w:hint="eastAsia" w:ascii="仿宋" w:hAnsi="仿宋" w:eastAsia="仿宋" w:cs="仿宋"/>
                <w:szCs w:val="21"/>
              </w:rPr>
              <w:t>将保税仓库进行物理分割，隔离出部分区域用于存储跨境电商保税货物，并按照跨境保税仓库要求安装围网、监控、货架等设施设备，实现保税物流仓储货物与跨境电商货物物理监管上的隔离，提高了仓库利用效率。</w:t>
            </w:r>
          </w:p>
        </w:tc>
        <w:tc>
          <w:tcPr>
            <w:tcW w:w="1995" w:type="dxa"/>
            <w:noWrap w:val="0"/>
            <w:vAlign w:val="center"/>
          </w:tcPr>
          <w:p>
            <w:pPr>
              <w:spacing w:line="320" w:lineRule="exact"/>
              <w:rPr>
                <w:rFonts w:hint="eastAsia" w:ascii="仿宋" w:hAnsi="仿宋" w:eastAsia="仿宋" w:cs="仿宋"/>
                <w:szCs w:val="21"/>
              </w:rPr>
            </w:pPr>
            <w:r>
              <w:rPr>
                <w:rFonts w:hint="eastAsia" w:ascii="仿宋" w:hAnsi="仿宋" w:eastAsia="仿宋" w:cs="仿宋"/>
                <w:szCs w:val="21"/>
              </w:rPr>
              <w:t>空港新城功能区</w:t>
            </w:r>
          </w:p>
        </w:tc>
        <w:tc>
          <w:tcPr>
            <w:tcW w:w="780"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海关</w:t>
            </w:r>
          </w:p>
          <w:p>
            <w:pPr>
              <w:spacing w:line="320" w:lineRule="exact"/>
              <w:jc w:val="center"/>
              <w:rPr>
                <w:rFonts w:hint="eastAsia" w:ascii="仿宋" w:hAnsi="仿宋" w:eastAsia="仿宋" w:cs="仿宋"/>
                <w:szCs w:val="21"/>
              </w:rPr>
            </w:pPr>
            <w:r>
              <w:rPr>
                <w:rFonts w:hint="eastAsia" w:ascii="仿宋" w:hAnsi="仿宋" w:eastAsia="仿宋" w:cs="仿宋"/>
                <w:szCs w:val="21"/>
              </w:rPr>
              <w:t>特殊</w:t>
            </w:r>
          </w:p>
          <w:p>
            <w:pPr>
              <w:spacing w:line="320" w:lineRule="exact"/>
              <w:jc w:val="center"/>
              <w:rPr>
                <w:rFonts w:hint="eastAsia" w:ascii="仿宋" w:hAnsi="仿宋" w:eastAsia="仿宋" w:cs="仿宋"/>
                <w:szCs w:val="21"/>
              </w:rPr>
            </w:pPr>
            <w:r>
              <w:rPr>
                <w:rFonts w:hint="eastAsia" w:ascii="仿宋" w:hAnsi="仿宋" w:eastAsia="仿宋" w:cs="仿宋"/>
                <w:szCs w:val="21"/>
              </w:rPr>
              <w:t>监管</w:t>
            </w:r>
          </w:p>
          <w:p>
            <w:pPr>
              <w:spacing w:line="320" w:lineRule="exact"/>
              <w:jc w:val="center"/>
              <w:rPr>
                <w:rFonts w:hint="eastAsia" w:ascii="仿宋" w:hAnsi="仿宋" w:eastAsia="仿宋" w:cs="仿宋"/>
                <w:szCs w:val="21"/>
              </w:rPr>
            </w:pPr>
            <w:r>
              <w:rPr>
                <w:rFonts w:hint="eastAsia" w:ascii="仿宋" w:hAnsi="仿宋" w:eastAsia="仿宋" w:cs="仿宋"/>
                <w:szCs w:val="21"/>
              </w:rPr>
              <w:t>区</w:t>
            </w:r>
          </w:p>
        </w:tc>
        <w:tc>
          <w:tcPr>
            <w:tcW w:w="720"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复制</w:t>
            </w:r>
          </w:p>
        </w:tc>
        <w:tc>
          <w:tcPr>
            <w:tcW w:w="1168" w:type="dxa"/>
            <w:noWrap w:val="0"/>
            <w:vAlign w:val="center"/>
          </w:tcPr>
          <w:p>
            <w:pPr>
              <w:spacing w:line="320" w:lineRule="exact"/>
              <w:rPr>
                <w:rFonts w:hint="eastAsia" w:ascii="仿宋" w:hAnsi="仿宋" w:eastAsia="仿宋" w:cs="仿宋"/>
                <w:szCs w:val="21"/>
              </w:rPr>
            </w:pPr>
            <w:r>
              <w:rPr>
                <w:rFonts w:hint="eastAsia" w:ascii="仿宋" w:hAnsi="仿宋" w:eastAsia="仿宋" w:cs="仿宋"/>
                <w:szCs w:val="21"/>
              </w:rPr>
              <w:t>西安海关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05" w:hRule="atLeast"/>
          <w:jc w:val="center"/>
        </w:trPr>
        <w:tc>
          <w:tcPr>
            <w:tcW w:w="572"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19</w:t>
            </w:r>
          </w:p>
        </w:tc>
        <w:tc>
          <w:tcPr>
            <w:tcW w:w="4410" w:type="dxa"/>
            <w:noWrap w:val="0"/>
            <w:vAlign w:val="center"/>
          </w:tcPr>
          <w:p>
            <w:pPr>
              <w:spacing w:line="320" w:lineRule="exact"/>
              <w:rPr>
                <w:rFonts w:hint="eastAsia" w:ascii="仿宋" w:hAnsi="仿宋" w:eastAsia="仿宋" w:cs="仿宋"/>
                <w:szCs w:val="21"/>
              </w:rPr>
            </w:pPr>
            <w:r>
              <w:rPr>
                <w:rFonts w:hint="eastAsia" w:ascii="仿宋" w:hAnsi="仿宋" w:eastAsia="仿宋" w:cs="仿宋"/>
                <w:b/>
                <w:bCs/>
                <w:szCs w:val="21"/>
              </w:rPr>
              <w:t>“交房即交证”改革。</w:t>
            </w:r>
            <w:r>
              <w:rPr>
                <w:rFonts w:hint="eastAsia" w:ascii="仿宋" w:hAnsi="仿宋" w:eastAsia="仿宋" w:cs="仿宋"/>
                <w:szCs w:val="21"/>
              </w:rPr>
              <w:t>建立多部门信息共享机制，由职能部门联合开展前置审查，对于消防、环评、规划等七项审查事项，开发商可根据需要申请单项验收或联合验收。同时在规划验收、不动产权籍调查等阶段，允许企业采用告知承诺的方式，审批部门先行受理并出具审核结果。整体办结时限减少了一半以上，实现企业在交房时即可办妥不动产权证书，并交付给购房者。</w:t>
            </w:r>
          </w:p>
        </w:tc>
        <w:tc>
          <w:tcPr>
            <w:tcW w:w="1995" w:type="dxa"/>
            <w:noWrap w:val="0"/>
            <w:vAlign w:val="center"/>
          </w:tcPr>
          <w:p>
            <w:pPr>
              <w:spacing w:line="320" w:lineRule="exact"/>
              <w:rPr>
                <w:rFonts w:hint="eastAsia" w:ascii="仿宋" w:hAnsi="仿宋" w:eastAsia="仿宋" w:cs="仿宋"/>
                <w:szCs w:val="21"/>
              </w:rPr>
            </w:pPr>
            <w:r>
              <w:rPr>
                <w:rFonts w:hint="eastAsia" w:ascii="仿宋" w:hAnsi="仿宋" w:eastAsia="仿宋" w:cs="仿宋"/>
                <w:szCs w:val="21"/>
              </w:rPr>
              <w:t>浐灞生态区功能区</w:t>
            </w:r>
          </w:p>
        </w:tc>
        <w:tc>
          <w:tcPr>
            <w:tcW w:w="780"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自贸</w:t>
            </w:r>
          </w:p>
          <w:p>
            <w:pPr>
              <w:spacing w:line="320" w:lineRule="exact"/>
              <w:jc w:val="center"/>
              <w:rPr>
                <w:rFonts w:hint="eastAsia" w:ascii="仿宋" w:hAnsi="仿宋" w:eastAsia="仿宋" w:cs="仿宋"/>
                <w:szCs w:val="21"/>
              </w:rPr>
            </w:pPr>
            <w:r>
              <w:rPr>
                <w:rFonts w:hint="eastAsia" w:ascii="仿宋" w:hAnsi="仿宋" w:eastAsia="仿宋" w:cs="仿宋"/>
                <w:szCs w:val="21"/>
              </w:rPr>
              <w:t>试验</w:t>
            </w:r>
          </w:p>
          <w:p>
            <w:pPr>
              <w:spacing w:line="320" w:lineRule="exact"/>
              <w:jc w:val="center"/>
              <w:rPr>
                <w:rFonts w:hint="eastAsia" w:ascii="仿宋" w:hAnsi="仿宋" w:eastAsia="仿宋" w:cs="仿宋"/>
                <w:szCs w:val="21"/>
              </w:rPr>
            </w:pPr>
            <w:r>
              <w:rPr>
                <w:rFonts w:hint="eastAsia" w:ascii="仿宋" w:hAnsi="仿宋" w:eastAsia="仿宋" w:cs="仿宋"/>
                <w:szCs w:val="21"/>
              </w:rPr>
              <w:t>区</w:t>
            </w:r>
          </w:p>
        </w:tc>
        <w:tc>
          <w:tcPr>
            <w:tcW w:w="720"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推广</w:t>
            </w:r>
          </w:p>
        </w:tc>
        <w:tc>
          <w:tcPr>
            <w:tcW w:w="1168" w:type="dxa"/>
            <w:noWrap w:val="0"/>
            <w:vAlign w:val="center"/>
          </w:tcPr>
          <w:p>
            <w:pPr>
              <w:spacing w:line="320" w:lineRule="exact"/>
              <w:rPr>
                <w:rFonts w:hint="eastAsia" w:ascii="仿宋" w:hAnsi="仿宋" w:eastAsia="仿宋" w:cs="仿宋"/>
                <w:szCs w:val="21"/>
              </w:rPr>
            </w:pPr>
            <w:r>
              <w:rPr>
                <w:rFonts w:hint="eastAsia" w:ascii="仿宋" w:hAnsi="仿宋" w:eastAsia="仿宋" w:cs="仿宋"/>
                <w:szCs w:val="21"/>
              </w:rPr>
              <w:t>各市（区）政府（管委会）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03" w:hRule="atLeast"/>
          <w:jc w:val="center"/>
        </w:trPr>
        <w:tc>
          <w:tcPr>
            <w:tcW w:w="572"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20</w:t>
            </w:r>
          </w:p>
        </w:tc>
        <w:tc>
          <w:tcPr>
            <w:tcW w:w="4410" w:type="dxa"/>
            <w:noWrap w:val="0"/>
            <w:vAlign w:val="center"/>
          </w:tcPr>
          <w:p>
            <w:pPr>
              <w:spacing w:line="320" w:lineRule="exact"/>
              <w:rPr>
                <w:rFonts w:hint="eastAsia" w:ascii="仿宋" w:hAnsi="仿宋" w:eastAsia="仿宋" w:cs="仿宋"/>
                <w:szCs w:val="21"/>
              </w:rPr>
            </w:pPr>
            <w:r>
              <w:rPr>
                <w:rFonts w:hint="eastAsia" w:ascii="仿宋" w:hAnsi="仿宋" w:eastAsia="仿宋" w:cs="仿宋"/>
                <w:b/>
                <w:bCs/>
                <w:spacing w:val="-2"/>
                <w:szCs w:val="21"/>
              </w:rPr>
              <w:t>创新旅行社质量保证金缴纳方式。</w:t>
            </w:r>
            <w:r>
              <w:rPr>
                <w:rFonts w:hint="eastAsia" w:ascii="仿宋" w:hAnsi="仿宋" w:eastAsia="仿宋" w:cs="仿宋"/>
                <w:spacing w:val="-2"/>
                <w:szCs w:val="21"/>
              </w:rPr>
              <w:t>从事国内旅游业务和入境旅游业务的新设旅行社，可向保险公司投保，由保险公司出具等额保单，旅行社凭借保单办理资质审批，等同于旅行社已缴纳服务质量保证金。</w:t>
            </w:r>
          </w:p>
        </w:tc>
        <w:tc>
          <w:tcPr>
            <w:tcW w:w="1995" w:type="dxa"/>
            <w:noWrap w:val="0"/>
            <w:vAlign w:val="center"/>
          </w:tcPr>
          <w:p>
            <w:pPr>
              <w:spacing w:line="320" w:lineRule="exact"/>
              <w:rPr>
                <w:rFonts w:hint="eastAsia" w:ascii="仿宋" w:hAnsi="仿宋" w:eastAsia="仿宋" w:cs="仿宋"/>
                <w:szCs w:val="21"/>
              </w:rPr>
            </w:pPr>
            <w:r>
              <w:rPr>
                <w:rFonts w:hint="eastAsia" w:ascii="仿宋" w:hAnsi="仿宋" w:eastAsia="仿宋" w:cs="仿宋"/>
                <w:szCs w:val="21"/>
              </w:rPr>
              <w:t>秦汉新城功能区</w:t>
            </w:r>
          </w:p>
        </w:tc>
        <w:tc>
          <w:tcPr>
            <w:tcW w:w="780"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自贸</w:t>
            </w:r>
          </w:p>
          <w:p>
            <w:pPr>
              <w:spacing w:line="320" w:lineRule="exact"/>
              <w:jc w:val="center"/>
              <w:rPr>
                <w:rFonts w:hint="eastAsia" w:ascii="仿宋" w:hAnsi="仿宋" w:eastAsia="仿宋" w:cs="仿宋"/>
                <w:szCs w:val="21"/>
              </w:rPr>
            </w:pPr>
            <w:r>
              <w:rPr>
                <w:rFonts w:hint="eastAsia" w:ascii="仿宋" w:hAnsi="仿宋" w:eastAsia="仿宋" w:cs="仿宋"/>
                <w:szCs w:val="21"/>
              </w:rPr>
              <w:t>试验</w:t>
            </w:r>
          </w:p>
          <w:p>
            <w:pPr>
              <w:spacing w:line="320" w:lineRule="exact"/>
              <w:jc w:val="center"/>
              <w:rPr>
                <w:rFonts w:hint="eastAsia" w:ascii="仿宋" w:hAnsi="仿宋" w:eastAsia="仿宋" w:cs="仿宋"/>
                <w:szCs w:val="21"/>
              </w:rPr>
            </w:pPr>
            <w:r>
              <w:rPr>
                <w:rFonts w:hint="eastAsia" w:ascii="仿宋" w:hAnsi="仿宋" w:eastAsia="仿宋" w:cs="仿宋"/>
                <w:szCs w:val="21"/>
              </w:rPr>
              <w:t>区</w:t>
            </w:r>
          </w:p>
        </w:tc>
        <w:tc>
          <w:tcPr>
            <w:tcW w:w="720"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推广</w:t>
            </w:r>
          </w:p>
        </w:tc>
        <w:tc>
          <w:tcPr>
            <w:tcW w:w="1168" w:type="dxa"/>
            <w:noWrap w:val="0"/>
            <w:vAlign w:val="center"/>
          </w:tcPr>
          <w:p>
            <w:pPr>
              <w:spacing w:line="320" w:lineRule="exact"/>
              <w:rPr>
                <w:rFonts w:hint="eastAsia" w:ascii="仿宋" w:hAnsi="仿宋" w:eastAsia="仿宋" w:cs="仿宋"/>
                <w:szCs w:val="21"/>
              </w:rPr>
            </w:pPr>
            <w:r>
              <w:rPr>
                <w:rFonts w:hint="eastAsia" w:ascii="仿宋" w:hAnsi="仿宋" w:eastAsia="仿宋" w:cs="仿宋"/>
                <w:szCs w:val="21"/>
              </w:rPr>
              <w:t>省文化和旅游厅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05" w:hRule="exact"/>
          <w:jc w:val="center"/>
        </w:trPr>
        <w:tc>
          <w:tcPr>
            <w:tcW w:w="572"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21</w:t>
            </w:r>
          </w:p>
        </w:tc>
        <w:tc>
          <w:tcPr>
            <w:tcW w:w="4410" w:type="dxa"/>
            <w:noWrap w:val="0"/>
            <w:vAlign w:val="center"/>
          </w:tcPr>
          <w:p>
            <w:pPr>
              <w:spacing w:line="320" w:lineRule="exact"/>
              <w:rPr>
                <w:rFonts w:hint="eastAsia" w:ascii="仿宋" w:hAnsi="仿宋" w:eastAsia="仿宋" w:cs="仿宋"/>
                <w:szCs w:val="21"/>
              </w:rPr>
            </w:pPr>
            <w:r>
              <w:rPr>
                <w:rFonts w:hint="eastAsia" w:ascii="仿宋" w:hAnsi="仿宋" w:eastAsia="仿宋" w:cs="仿宋"/>
                <w:b/>
                <w:bCs/>
                <w:szCs w:val="21"/>
              </w:rPr>
              <w:t>跨境电商网购保税进口商品监管新模式。</w:t>
            </w:r>
            <w:r>
              <w:rPr>
                <w:rFonts w:hint="eastAsia" w:ascii="仿宋" w:hAnsi="仿宋" w:eastAsia="仿宋" w:cs="仿宋"/>
                <w:szCs w:val="21"/>
              </w:rPr>
              <w:t>“保税备货”状态下的网购保税进口商品，凭担保在自贸试验区范围内的实体商店进行保税展示，消费者在商品展示现场可直接扫码下单，综合保税区内同步接单发货，通过快递将商品送至消费者收货地点。</w:t>
            </w:r>
          </w:p>
        </w:tc>
        <w:tc>
          <w:tcPr>
            <w:tcW w:w="1995" w:type="dxa"/>
            <w:noWrap w:val="0"/>
            <w:vAlign w:val="center"/>
          </w:tcPr>
          <w:p>
            <w:pPr>
              <w:spacing w:line="320" w:lineRule="exact"/>
              <w:rPr>
                <w:rFonts w:hint="eastAsia" w:ascii="仿宋" w:hAnsi="仿宋" w:eastAsia="仿宋" w:cs="仿宋"/>
                <w:szCs w:val="21"/>
              </w:rPr>
            </w:pPr>
            <w:r>
              <w:rPr>
                <w:rFonts w:hint="eastAsia" w:ascii="仿宋" w:hAnsi="仿宋" w:eastAsia="仿宋" w:cs="仿宋"/>
                <w:szCs w:val="21"/>
              </w:rPr>
              <w:t>国际港务区功能区</w:t>
            </w:r>
          </w:p>
        </w:tc>
        <w:tc>
          <w:tcPr>
            <w:tcW w:w="780"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自贸</w:t>
            </w:r>
          </w:p>
          <w:p>
            <w:pPr>
              <w:spacing w:line="320" w:lineRule="exact"/>
              <w:jc w:val="center"/>
              <w:rPr>
                <w:rFonts w:hint="eastAsia" w:ascii="仿宋" w:hAnsi="仿宋" w:eastAsia="仿宋" w:cs="仿宋"/>
                <w:szCs w:val="21"/>
              </w:rPr>
            </w:pPr>
            <w:r>
              <w:rPr>
                <w:rFonts w:hint="eastAsia" w:ascii="仿宋" w:hAnsi="仿宋" w:eastAsia="仿宋" w:cs="仿宋"/>
                <w:szCs w:val="21"/>
              </w:rPr>
              <w:t>试验</w:t>
            </w:r>
          </w:p>
          <w:p>
            <w:pPr>
              <w:spacing w:line="320" w:lineRule="exact"/>
              <w:jc w:val="center"/>
              <w:rPr>
                <w:rFonts w:hint="eastAsia" w:ascii="仿宋" w:hAnsi="仿宋" w:eastAsia="仿宋" w:cs="仿宋"/>
                <w:szCs w:val="21"/>
              </w:rPr>
            </w:pPr>
            <w:r>
              <w:rPr>
                <w:rFonts w:hint="eastAsia" w:ascii="仿宋" w:hAnsi="仿宋" w:eastAsia="仿宋" w:cs="仿宋"/>
                <w:szCs w:val="21"/>
              </w:rPr>
              <w:t>区</w:t>
            </w:r>
          </w:p>
        </w:tc>
        <w:tc>
          <w:tcPr>
            <w:tcW w:w="720"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复制</w:t>
            </w:r>
          </w:p>
        </w:tc>
        <w:tc>
          <w:tcPr>
            <w:tcW w:w="1168" w:type="dxa"/>
            <w:noWrap w:val="0"/>
            <w:vAlign w:val="center"/>
          </w:tcPr>
          <w:p>
            <w:pPr>
              <w:spacing w:line="320" w:lineRule="exact"/>
              <w:rPr>
                <w:rFonts w:hint="eastAsia" w:ascii="仿宋" w:hAnsi="仿宋" w:eastAsia="仿宋" w:cs="仿宋"/>
                <w:szCs w:val="21"/>
              </w:rPr>
            </w:pPr>
            <w:r>
              <w:rPr>
                <w:rFonts w:hint="eastAsia" w:ascii="仿宋" w:hAnsi="仿宋" w:eastAsia="仿宋" w:cs="仿宋"/>
                <w:szCs w:val="21"/>
              </w:rPr>
              <w:t>西安海关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14" w:hRule="exact"/>
          <w:jc w:val="center"/>
        </w:trPr>
        <w:tc>
          <w:tcPr>
            <w:tcW w:w="572"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22</w:t>
            </w:r>
          </w:p>
        </w:tc>
        <w:tc>
          <w:tcPr>
            <w:tcW w:w="4410" w:type="dxa"/>
            <w:noWrap w:val="0"/>
            <w:vAlign w:val="center"/>
          </w:tcPr>
          <w:p>
            <w:pPr>
              <w:spacing w:line="320" w:lineRule="exact"/>
              <w:rPr>
                <w:rFonts w:hint="eastAsia" w:ascii="仿宋" w:hAnsi="仿宋" w:eastAsia="仿宋" w:cs="仿宋"/>
                <w:szCs w:val="21"/>
              </w:rPr>
            </w:pPr>
            <w:r>
              <w:rPr>
                <w:rFonts w:hint="eastAsia" w:ascii="仿宋" w:hAnsi="仿宋" w:eastAsia="仿宋" w:cs="仿宋"/>
                <w:b/>
                <w:bCs/>
                <w:spacing w:val="-2"/>
                <w:szCs w:val="21"/>
              </w:rPr>
              <w:t>“融资租赁+商业保理”融资新模式。</w:t>
            </w:r>
            <w:r>
              <w:rPr>
                <w:rFonts w:hint="eastAsia" w:ascii="仿宋" w:hAnsi="仿宋" w:eastAsia="仿宋" w:cs="仿宋"/>
                <w:spacing w:val="-2"/>
                <w:szCs w:val="21"/>
              </w:rPr>
              <w:t>以一定时期内多笔租金应收账款转让为基础，保理公司向租赁公司提供相应金额的大额融资资金，并以此大额融资资金的额度为限，设立保理应收账款池，由承租人直接向保理应收账款池还款。每月对池内保理金额进行核对，承租人已经还款部分予以退出，租赁公司以新的租金应收账款转让给保理公司，以便保理应收账款池中应收账款在授信额度内。满足了融资租赁公司大额融资资金需求，同时提升了小额还款的清算便利性。</w:t>
            </w:r>
          </w:p>
        </w:tc>
        <w:tc>
          <w:tcPr>
            <w:tcW w:w="1995" w:type="dxa"/>
            <w:noWrap w:val="0"/>
            <w:vAlign w:val="center"/>
          </w:tcPr>
          <w:p>
            <w:pPr>
              <w:spacing w:line="320" w:lineRule="exact"/>
              <w:rPr>
                <w:rFonts w:hint="eastAsia" w:ascii="仿宋" w:hAnsi="仿宋" w:eastAsia="仿宋" w:cs="仿宋"/>
                <w:szCs w:val="21"/>
              </w:rPr>
            </w:pPr>
            <w:r>
              <w:rPr>
                <w:rFonts w:hint="eastAsia" w:ascii="仿宋" w:hAnsi="仿宋" w:eastAsia="仿宋" w:cs="仿宋"/>
                <w:szCs w:val="21"/>
              </w:rPr>
              <w:t>经开区功能区</w:t>
            </w:r>
          </w:p>
        </w:tc>
        <w:tc>
          <w:tcPr>
            <w:tcW w:w="780"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自贸</w:t>
            </w:r>
          </w:p>
          <w:p>
            <w:pPr>
              <w:spacing w:line="320" w:lineRule="exact"/>
              <w:jc w:val="center"/>
              <w:rPr>
                <w:rFonts w:hint="eastAsia" w:ascii="仿宋" w:hAnsi="仿宋" w:eastAsia="仿宋" w:cs="仿宋"/>
                <w:szCs w:val="21"/>
              </w:rPr>
            </w:pPr>
            <w:r>
              <w:rPr>
                <w:rFonts w:hint="eastAsia" w:ascii="仿宋" w:hAnsi="仿宋" w:eastAsia="仿宋" w:cs="仿宋"/>
                <w:szCs w:val="21"/>
              </w:rPr>
              <w:t>试验</w:t>
            </w:r>
          </w:p>
          <w:p>
            <w:pPr>
              <w:spacing w:line="320" w:lineRule="exact"/>
              <w:jc w:val="center"/>
              <w:rPr>
                <w:rFonts w:hint="eastAsia" w:ascii="仿宋" w:hAnsi="仿宋" w:eastAsia="仿宋" w:cs="仿宋"/>
                <w:szCs w:val="21"/>
              </w:rPr>
            </w:pPr>
            <w:r>
              <w:rPr>
                <w:rFonts w:hint="eastAsia" w:ascii="仿宋" w:hAnsi="仿宋" w:eastAsia="仿宋" w:cs="仿宋"/>
                <w:szCs w:val="21"/>
              </w:rPr>
              <w:t>区</w:t>
            </w:r>
          </w:p>
        </w:tc>
        <w:tc>
          <w:tcPr>
            <w:tcW w:w="720"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复制</w:t>
            </w:r>
          </w:p>
        </w:tc>
        <w:tc>
          <w:tcPr>
            <w:tcW w:w="1168" w:type="dxa"/>
            <w:noWrap w:val="0"/>
            <w:vAlign w:val="center"/>
          </w:tcPr>
          <w:p>
            <w:pPr>
              <w:spacing w:line="320" w:lineRule="exact"/>
              <w:rPr>
                <w:rFonts w:hint="eastAsia" w:ascii="仿宋" w:hAnsi="仿宋" w:eastAsia="仿宋" w:cs="仿宋"/>
                <w:szCs w:val="21"/>
              </w:rPr>
            </w:pPr>
            <w:r>
              <w:rPr>
                <w:rFonts w:hint="eastAsia" w:ascii="仿宋" w:hAnsi="仿宋" w:eastAsia="仿宋" w:cs="仿宋"/>
                <w:szCs w:val="21"/>
              </w:rPr>
              <w:t>省地方金融监管局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44" w:hRule="exact"/>
          <w:jc w:val="center"/>
        </w:trPr>
        <w:tc>
          <w:tcPr>
            <w:tcW w:w="572"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23</w:t>
            </w:r>
          </w:p>
        </w:tc>
        <w:tc>
          <w:tcPr>
            <w:tcW w:w="4410" w:type="dxa"/>
            <w:noWrap w:val="0"/>
            <w:vAlign w:val="center"/>
          </w:tcPr>
          <w:p>
            <w:pPr>
              <w:spacing w:line="320" w:lineRule="exact"/>
              <w:rPr>
                <w:rFonts w:hint="eastAsia" w:ascii="仿宋" w:hAnsi="仿宋" w:eastAsia="仿宋" w:cs="仿宋"/>
                <w:szCs w:val="21"/>
              </w:rPr>
            </w:pPr>
            <w:r>
              <w:rPr>
                <w:rFonts w:hint="eastAsia" w:ascii="仿宋" w:hAnsi="仿宋" w:eastAsia="仿宋" w:cs="仿宋"/>
                <w:b/>
                <w:bCs/>
                <w:szCs w:val="21"/>
              </w:rPr>
              <w:t>“银—保”合作机制。</w:t>
            </w:r>
            <w:r>
              <w:rPr>
                <w:rFonts w:hint="eastAsia" w:ascii="仿宋" w:hAnsi="仿宋" w:eastAsia="仿宋" w:cs="仿宋"/>
                <w:szCs w:val="21"/>
              </w:rPr>
              <w:t>保理公司进行项目营销、尽职调查，将符合条件的企业推荐给商业银行，企业与银行签署保理合同，转让应收账款。商业银行以客户应收账款形成保理资产后，将保理资产委托给保理公司进行应收账款管理及催收服务。同时，保理公司为底层应收账款的回款提供信用风险担保。该模式发挥保理公司应收账款管理和信用担保的功能，扩大银行获客渠道，同时解决小微企业融资困难，实现小微企业、保理公司与商业银行三方共赢。</w:t>
            </w:r>
          </w:p>
        </w:tc>
        <w:tc>
          <w:tcPr>
            <w:tcW w:w="1995" w:type="dxa"/>
            <w:noWrap w:val="0"/>
            <w:vAlign w:val="center"/>
          </w:tcPr>
          <w:p>
            <w:pPr>
              <w:spacing w:line="320" w:lineRule="exact"/>
              <w:rPr>
                <w:rFonts w:hint="eastAsia" w:ascii="仿宋" w:hAnsi="仿宋" w:eastAsia="仿宋" w:cs="仿宋"/>
                <w:szCs w:val="21"/>
              </w:rPr>
            </w:pPr>
            <w:r>
              <w:rPr>
                <w:rFonts w:hint="eastAsia" w:ascii="仿宋" w:hAnsi="仿宋" w:eastAsia="仿宋" w:cs="仿宋"/>
                <w:szCs w:val="21"/>
              </w:rPr>
              <w:t>经开区功能区</w:t>
            </w:r>
          </w:p>
        </w:tc>
        <w:tc>
          <w:tcPr>
            <w:tcW w:w="780"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自贸</w:t>
            </w:r>
          </w:p>
          <w:p>
            <w:pPr>
              <w:spacing w:line="320" w:lineRule="exact"/>
              <w:jc w:val="center"/>
              <w:rPr>
                <w:rFonts w:hint="eastAsia" w:ascii="仿宋" w:hAnsi="仿宋" w:eastAsia="仿宋" w:cs="仿宋"/>
                <w:szCs w:val="21"/>
              </w:rPr>
            </w:pPr>
            <w:r>
              <w:rPr>
                <w:rFonts w:hint="eastAsia" w:ascii="仿宋" w:hAnsi="仿宋" w:eastAsia="仿宋" w:cs="仿宋"/>
                <w:szCs w:val="21"/>
              </w:rPr>
              <w:t>试验</w:t>
            </w:r>
          </w:p>
          <w:p>
            <w:pPr>
              <w:spacing w:line="320" w:lineRule="exact"/>
              <w:jc w:val="center"/>
              <w:rPr>
                <w:rFonts w:hint="eastAsia" w:ascii="仿宋" w:hAnsi="仿宋" w:eastAsia="仿宋" w:cs="仿宋"/>
                <w:szCs w:val="21"/>
              </w:rPr>
            </w:pPr>
            <w:r>
              <w:rPr>
                <w:rFonts w:hint="eastAsia" w:ascii="仿宋" w:hAnsi="仿宋" w:eastAsia="仿宋" w:cs="仿宋"/>
                <w:szCs w:val="21"/>
              </w:rPr>
              <w:t>区</w:t>
            </w:r>
          </w:p>
        </w:tc>
        <w:tc>
          <w:tcPr>
            <w:tcW w:w="720"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复制</w:t>
            </w:r>
          </w:p>
        </w:tc>
        <w:tc>
          <w:tcPr>
            <w:tcW w:w="1168" w:type="dxa"/>
            <w:noWrap w:val="0"/>
            <w:vAlign w:val="center"/>
          </w:tcPr>
          <w:p>
            <w:pPr>
              <w:spacing w:line="320" w:lineRule="exact"/>
              <w:rPr>
                <w:rFonts w:hint="eastAsia" w:ascii="仿宋" w:hAnsi="仿宋" w:eastAsia="仿宋" w:cs="仿宋"/>
                <w:szCs w:val="21"/>
              </w:rPr>
            </w:pPr>
            <w:r>
              <w:rPr>
                <w:rFonts w:hint="eastAsia" w:ascii="仿宋" w:hAnsi="仿宋" w:eastAsia="仿宋" w:cs="仿宋"/>
                <w:szCs w:val="21"/>
              </w:rPr>
              <w:t>省地方金融监管局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89" w:hRule="exact"/>
          <w:jc w:val="center"/>
        </w:trPr>
        <w:tc>
          <w:tcPr>
            <w:tcW w:w="572"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24</w:t>
            </w:r>
          </w:p>
        </w:tc>
        <w:tc>
          <w:tcPr>
            <w:tcW w:w="4410" w:type="dxa"/>
            <w:noWrap w:val="0"/>
            <w:vAlign w:val="center"/>
          </w:tcPr>
          <w:p>
            <w:pPr>
              <w:spacing w:line="320" w:lineRule="exact"/>
              <w:rPr>
                <w:rFonts w:hint="eastAsia" w:ascii="仿宋" w:hAnsi="仿宋" w:eastAsia="仿宋" w:cs="仿宋"/>
                <w:szCs w:val="21"/>
              </w:rPr>
            </w:pPr>
            <w:r>
              <w:rPr>
                <w:rFonts w:hint="eastAsia" w:ascii="仿宋" w:hAnsi="仿宋" w:eastAsia="仿宋" w:cs="仿宋"/>
                <w:b/>
                <w:bCs/>
                <w:szCs w:val="21"/>
              </w:rPr>
              <w:t>信用保理融资新模式。</w:t>
            </w:r>
            <w:r>
              <w:rPr>
                <w:rFonts w:hint="eastAsia" w:ascii="仿宋" w:hAnsi="仿宋" w:eastAsia="仿宋" w:cs="仿宋"/>
                <w:szCs w:val="21"/>
              </w:rPr>
              <w:t>国内出口商向国外进口商出口商品时，向中国信保投保，中国信保根据国内外进出口商双方资信情况向其核定信用额度。保理公司为国内出口商提供保理融资，并作为海外买方信用保单的受益人或被保险人。该模式解决了国内中小出口企业的融资难题，提高了企业资金周转率，同时降低了保理公司回款风险，在出口商收到货款后向保理企业偿付相应的保理融资款，实现资金流的闭环，为中小出口企业开展国际贸易、拓展海外市场提供助力。</w:t>
            </w:r>
          </w:p>
        </w:tc>
        <w:tc>
          <w:tcPr>
            <w:tcW w:w="1995" w:type="dxa"/>
            <w:noWrap w:val="0"/>
            <w:vAlign w:val="center"/>
          </w:tcPr>
          <w:p>
            <w:pPr>
              <w:spacing w:line="320" w:lineRule="exact"/>
              <w:rPr>
                <w:rFonts w:hint="eastAsia" w:ascii="仿宋" w:hAnsi="仿宋" w:eastAsia="仿宋" w:cs="仿宋"/>
                <w:szCs w:val="21"/>
              </w:rPr>
            </w:pPr>
            <w:r>
              <w:rPr>
                <w:rFonts w:hint="eastAsia" w:ascii="仿宋" w:hAnsi="仿宋" w:eastAsia="仿宋" w:cs="仿宋"/>
                <w:szCs w:val="21"/>
              </w:rPr>
              <w:t>经开区功能区</w:t>
            </w:r>
          </w:p>
        </w:tc>
        <w:tc>
          <w:tcPr>
            <w:tcW w:w="780"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自贸</w:t>
            </w:r>
          </w:p>
          <w:p>
            <w:pPr>
              <w:spacing w:line="320" w:lineRule="exact"/>
              <w:jc w:val="center"/>
              <w:rPr>
                <w:rFonts w:hint="eastAsia" w:ascii="仿宋" w:hAnsi="仿宋" w:eastAsia="仿宋" w:cs="仿宋"/>
                <w:szCs w:val="21"/>
              </w:rPr>
            </w:pPr>
            <w:r>
              <w:rPr>
                <w:rFonts w:hint="eastAsia" w:ascii="仿宋" w:hAnsi="仿宋" w:eastAsia="仿宋" w:cs="仿宋"/>
                <w:szCs w:val="21"/>
              </w:rPr>
              <w:t>试验</w:t>
            </w:r>
          </w:p>
          <w:p>
            <w:pPr>
              <w:spacing w:line="320" w:lineRule="exact"/>
              <w:jc w:val="center"/>
              <w:rPr>
                <w:rFonts w:hint="eastAsia" w:ascii="仿宋" w:hAnsi="仿宋" w:eastAsia="仿宋" w:cs="仿宋"/>
                <w:szCs w:val="21"/>
              </w:rPr>
            </w:pPr>
            <w:r>
              <w:rPr>
                <w:rFonts w:hint="eastAsia" w:ascii="仿宋" w:hAnsi="仿宋" w:eastAsia="仿宋" w:cs="仿宋"/>
                <w:szCs w:val="21"/>
              </w:rPr>
              <w:t>区</w:t>
            </w:r>
          </w:p>
        </w:tc>
        <w:tc>
          <w:tcPr>
            <w:tcW w:w="720"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复制</w:t>
            </w:r>
          </w:p>
        </w:tc>
        <w:tc>
          <w:tcPr>
            <w:tcW w:w="1168" w:type="dxa"/>
            <w:noWrap w:val="0"/>
            <w:vAlign w:val="center"/>
          </w:tcPr>
          <w:p>
            <w:pPr>
              <w:spacing w:line="320" w:lineRule="exact"/>
              <w:rPr>
                <w:rFonts w:hint="eastAsia" w:ascii="仿宋" w:hAnsi="仿宋" w:eastAsia="仿宋" w:cs="仿宋"/>
                <w:szCs w:val="21"/>
              </w:rPr>
            </w:pPr>
            <w:r>
              <w:rPr>
                <w:rFonts w:hint="eastAsia" w:ascii="仿宋" w:hAnsi="仿宋" w:eastAsia="仿宋" w:cs="仿宋"/>
                <w:szCs w:val="21"/>
              </w:rPr>
              <w:t>省地方金融监管局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68" w:hRule="exact"/>
          <w:jc w:val="center"/>
        </w:trPr>
        <w:tc>
          <w:tcPr>
            <w:tcW w:w="572"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25</w:t>
            </w:r>
          </w:p>
        </w:tc>
        <w:tc>
          <w:tcPr>
            <w:tcW w:w="4410" w:type="dxa"/>
            <w:noWrap w:val="0"/>
            <w:vAlign w:val="center"/>
          </w:tcPr>
          <w:p>
            <w:pPr>
              <w:spacing w:line="320" w:lineRule="exact"/>
              <w:rPr>
                <w:rFonts w:hint="eastAsia" w:ascii="仿宋" w:hAnsi="仿宋" w:eastAsia="仿宋" w:cs="仿宋"/>
                <w:szCs w:val="21"/>
              </w:rPr>
            </w:pPr>
            <w:r>
              <w:rPr>
                <w:rFonts w:hint="eastAsia" w:ascii="仿宋" w:hAnsi="仿宋" w:eastAsia="仿宋" w:cs="仿宋"/>
                <w:b/>
                <w:bCs/>
                <w:szCs w:val="21"/>
              </w:rPr>
              <w:t>跨境票据通。</w:t>
            </w:r>
            <w:r>
              <w:rPr>
                <w:rFonts w:hint="eastAsia" w:ascii="仿宋" w:hAnsi="仿宋" w:eastAsia="仿宋" w:cs="仿宋"/>
                <w:szCs w:val="21"/>
              </w:rPr>
              <w:t>创新跨境业务结算方式，在境外采购与销售场景下，引入商业票据结算，由境内企业直接向境外交易对手的NRA账户（境内银行为境外机构开立的境内外汇账户）支付商业票据，境外公司在该账户内可进行贴现融资并将资金汇出境外，贴现银行再以此票据向中国人民银行再贴现,使企业融资成本下降3-4个百分点。</w:t>
            </w:r>
          </w:p>
        </w:tc>
        <w:tc>
          <w:tcPr>
            <w:tcW w:w="1995" w:type="dxa"/>
            <w:noWrap w:val="0"/>
            <w:vAlign w:val="center"/>
          </w:tcPr>
          <w:p>
            <w:pPr>
              <w:spacing w:line="320" w:lineRule="exact"/>
              <w:rPr>
                <w:rFonts w:hint="eastAsia" w:ascii="仿宋" w:hAnsi="仿宋" w:eastAsia="仿宋" w:cs="仿宋"/>
                <w:szCs w:val="21"/>
              </w:rPr>
            </w:pPr>
            <w:r>
              <w:rPr>
                <w:rFonts w:hint="eastAsia" w:ascii="仿宋" w:hAnsi="仿宋" w:eastAsia="仿宋" w:cs="仿宋"/>
                <w:szCs w:val="21"/>
              </w:rPr>
              <w:t>国际港务区功能区</w:t>
            </w:r>
          </w:p>
        </w:tc>
        <w:tc>
          <w:tcPr>
            <w:tcW w:w="780"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自贸</w:t>
            </w:r>
          </w:p>
          <w:p>
            <w:pPr>
              <w:spacing w:line="320" w:lineRule="exact"/>
              <w:jc w:val="center"/>
              <w:rPr>
                <w:rFonts w:hint="eastAsia" w:ascii="仿宋" w:hAnsi="仿宋" w:eastAsia="仿宋" w:cs="仿宋"/>
                <w:szCs w:val="21"/>
              </w:rPr>
            </w:pPr>
            <w:r>
              <w:rPr>
                <w:rFonts w:hint="eastAsia" w:ascii="仿宋" w:hAnsi="仿宋" w:eastAsia="仿宋" w:cs="仿宋"/>
                <w:szCs w:val="21"/>
              </w:rPr>
              <w:t>试验</w:t>
            </w:r>
          </w:p>
          <w:p>
            <w:pPr>
              <w:spacing w:line="320" w:lineRule="exact"/>
              <w:jc w:val="center"/>
              <w:rPr>
                <w:rFonts w:hint="eastAsia" w:ascii="仿宋" w:hAnsi="仿宋" w:eastAsia="仿宋" w:cs="仿宋"/>
                <w:szCs w:val="21"/>
              </w:rPr>
            </w:pPr>
            <w:r>
              <w:rPr>
                <w:rFonts w:hint="eastAsia" w:ascii="仿宋" w:hAnsi="仿宋" w:eastAsia="仿宋" w:cs="仿宋"/>
                <w:szCs w:val="21"/>
              </w:rPr>
              <w:t>区</w:t>
            </w:r>
          </w:p>
        </w:tc>
        <w:tc>
          <w:tcPr>
            <w:tcW w:w="720"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推广</w:t>
            </w:r>
          </w:p>
        </w:tc>
        <w:tc>
          <w:tcPr>
            <w:tcW w:w="1168" w:type="dxa"/>
            <w:noWrap w:val="0"/>
            <w:vAlign w:val="center"/>
          </w:tcPr>
          <w:p>
            <w:pPr>
              <w:spacing w:line="320" w:lineRule="exact"/>
              <w:rPr>
                <w:rFonts w:hint="eastAsia" w:ascii="仿宋" w:hAnsi="仿宋" w:eastAsia="仿宋" w:cs="仿宋"/>
                <w:szCs w:val="21"/>
              </w:rPr>
            </w:pPr>
            <w:r>
              <w:rPr>
                <w:rFonts w:hint="eastAsia" w:ascii="仿宋" w:hAnsi="仿宋" w:eastAsia="仿宋" w:cs="仿宋"/>
                <w:szCs w:val="21"/>
              </w:rPr>
              <w:t>人民银行西安分行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93" w:hRule="exact"/>
          <w:jc w:val="center"/>
        </w:trPr>
        <w:tc>
          <w:tcPr>
            <w:tcW w:w="572"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26</w:t>
            </w:r>
          </w:p>
        </w:tc>
        <w:tc>
          <w:tcPr>
            <w:tcW w:w="4410" w:type="dxa"/>
            <w:noWrap w:val="0"/>
            <w:vAlign w:val="center"/>
          </w:tcPr>
          <w:p>
            <w:pPr>
              <w:spacing w:line="320" w:lineRule="exact"/>
              <w:rPr>
                <w:rFonts w:hint="eastAsia" w:ascii="仿宋" w:hAnsi="仿宋" w:eastAsia="仿宋" w:cs="仿宋"/>
                <w:szCs w:val="21"/>
              </w:rPr>
            </w:pPr>
            <w:r>
              <w:rPr>
                <w:rFonts w:hint="eastAsia" w:ascii="仿宋" w:hAnsi="仿宋" w:eastAsia="仿宋" w:cs="仿宋"/>
                <w:b/>
                <w:bCs/>
                <w:szCs w:val="21"/>
              </w:rPr>
              <w:t>国际保理美元融资新模式。</w:t>
            </w:r>
            <w:r>
              <w:rPr>
                <w:rFonts w:hint="eastAsia" w:ascii="仿宋" w:hAnsi="仿宋" w:eastAsia="仿宋" w:cs="仿宋"/>
                <w:szCs w:val="21"/>
              </w:rPr>
              <w:t>商业保理企业通过受让出口企业以美元计价的应收账款，依据应收账款从银行申请获取国内外汇贷款，向出口企业提供一定比例应收账款美元融资。待出口企业收回国外买家的美元货款后，同样以美元收入向保理企业归还保理融资款，平均为企业节省融资成本3%以上。</w:t>
            </w:r>
          </w:p>
        </w:tc>
        <w:tc>
          <w:tcPr>
            <w:tcW w:w="1995" w:type="dxa"/>
            <w:noWrap w:val="0"/>
            <w:vAlign w:val="center"/>
          </w:tcPr>
          <w:p>
            <w:pPr>
              <w:spacing w:line="320" w:lineRule="exact"/>
              <w:rPr>
                <w:rFonts w:hint="eastAsia" w:ascii="仿宋" w:hAnsi="仿宋" w:eastAsia="仿宋" w:cs="仿宋"/>
                <w:szCs w:val="21"/>
              </w:rPr>
            </w:pPr>
            <w:r>
              <w:rPr>
                <w:rFonts w:hint="eastAsia" w:ascii="仿宋" w:hAnsi="仿宋" w:eastAsia="仿宋" w:cs="仿宋"/>
                <w:szCs w:val="21"/>
              </w:rPr>
              <w:t>经开区功能区</w:t>
            </w:r>
          </w:p>
        </w:tc>
        <w:tc>
          <w:tcPr>
            <w:tcW w:w="780"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自贸</w:t>
            </w:r>
          </w:p>
          <w:p>
            <w:pPr>
              <w:spacing w:line="320" w:lineRule="exact"/>
              <w:jc w:val="center"/>
              <w:rPr>
                <w:rFonts w:hint="eastAsia" w:ascii="仿宋" w:hAnsi="仿宋" w:eastAsia="仿宋" w:cs="仿宋"/>
                <w:szCs w:val="21"/>
              </w:rPr>
            </w:pPr>
            <w:r>
              <w:rPr>
                <w:rFonts w:hint="eastAsia" w:ascii="仿宋" w:hAnsi="仿宋" w:eastAsia="仿宋" w:cs="仿宋"/>
                <w:szCs w:val="21"/>
              </w:rPr>
              <w:t>试验</w:t>
            </w:r>
          </w:p>
          <w:p>
            <w:pPr>
              <w:spacing w:line="320" w:lineRule="exact"/>
              <w:jc w:val="center"/>
              <w:rPr>
                <w:rFonts w:hint="eastAsia" w:ascii="仿宋" w:hAnsi="仿宋" w:eastAsia="仿宋" w:cs="仿宋"/>
                <w:szCs w:val="21"/>
              </w:rPr>
            </w:pPr>
            <w:r>
              <w:rPr>
                <w:rFonts w:hint="eastAsia" w:ascii="仿宋" w:hAnsi="仿宋" w:eastAsia="仿宋" w:cs="仿宋"/>
                <w:szCs w:val="21"/>
              </w:rPr>
              <w:t>区</w:t>
            </w:r>
          </w:p>
        </w:tc>
        <w:tc>
          <w:tcPr>
            <w:tcW w:w="720"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推广</w:t>
            </w:r>
          </w:p>
        </w:tc>
        <w:tc>
          <w:tcPr>
            <w:tcW w:w="1168" w:type="dxa"/>
            <w:noWrap w:val="0"/>
            <w:vAlign w:val="center"/>
          </w:tcPr>
          <w:p>
            <w:pPr>
              <w:spacing w:line="320" w:lineRule="exact"/>
              <w:rPr>
                <w:rFonts w:hint="eastAsia" w:ascii="仿宋" w:hAnsi="仿宋" w:eastAsia="仿宋" w:cs="仿宋"/>
                <w:szCs w:val="21"/>
              </w:rPr>
            </w:pPr>
            <w:r>
              <w:rPr>
                <w:rFonts w:hint="eastAsia" w:ascii="仿宋" w:hAnsi="仿宋" w:eastAsia="仿宋" w:cs="仿宋"/>
                <w:szCs w:val="21"/>
              </w:rPr>
              <w:t>省地方金融监管局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80" w:hRule="exact"/>
          <w:jc w:val="center"/>
        </w:trPr>
        <w:tc>
          <w:tcPr>
            <w:tcW w:w="572"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27</w:t>
            </w:r>
          </w:p>
        </w:tc>
        <w:tc>
          <w:tcPr>
            <w:tcW w:w="4410" w:type="dxa"/>
            <w:noWrap w:val="0"/>
            <w:vAlign w:val="center"/>
          </w:tcPr>
          <w:p>
            <w:pPr>
              <w:spacing w:line="320" w:lineRule="exact"/>
              <w:rPr>
                <w:rFonts w:hint="eastAsia" w:ascii="仿宋" w:hAnsi="仿宋" w:eastAsia="仿宋" w:cs="仿宋"/>
                <w:szCs w:val="21"/>
                <w:lang w:val="en-GB"/>
              </w:rPr>
            </w:pPr>
            <w:r>
              <w:rPr>
                <w:rFonts w:hint="eastAsia" w:ascii="仿宋" w:hAnsi="仿宋" w:eastAsia="仿宋" w:cs="仿宋"/>
                <w:b/>
                <w:bCs/>
                <w:szCs w:val="21"/>
                <w:lang w:val="en-GB"/>
              </w:rPr>
              <w:t>普通合伙律师事务所制度改革。</w:t>
            </w:r>
            <w:r>
              <w:rPr>
                <w:rFonts w:hint="eastAsia" w:ascii="仿宋" w:hAnsi="仿宋" w:eastAsia="仿宋" w:cs="仿宋"/>
                <w:szCs w:val="21"/>
                <w:lang w:val="en-GB"/>
              </w:rPr>
              <w:t>放宽特殊普通合伙律师事务所合伙人准入条件，允许特殊普通合伙律师事务所吸纳注册会计师、注册税务师、注册造价工程师、专利代理人等其他专业人士担任合伙人。鼓励具备条件的律师事务所实行公司化管理。鼓励外国和港澳律师事务所设立代表处，依据有关规定从事法律事务。放宽在陕西自贸试验区设立律师事务所分所的条件，允许设在西安市的合伙律师事务所在陕西自贸试验区设立分所。</w:t>
            </w:r>
          </w:p>
        </w:tc>
        <w:tc>
          <w:tcPr>
            <w:tcW w:w="1995" w:type="dxa"/>
            <w:noWrap w:val="0"/>
            <w:vAlign w:val="center"/>
          </w:tcPr>
          <w:p>
            <w:pPr>
              <w:spacing w:line="320" w:lineRule="exact"/>
              <w:rPr>
                <w:rFonts w:hint="eastAsia" w:ascii="仿宋" w:hAnsi="仿宋" w:eastAsia="仿宋" w:cs="仿宋"/>
                <w:szCs w:val="21"/>
              </w:rPr>
            </w:pPr>
            <w:r>
              <w:rPr>
                <w:rFonts w:hint="eastAsia" w:ascii="仿宋" w:hAnsi="仿宋" w:eastAsia="仿宋" w:cs="仿宋"/>
                <w:szCs w:val="21"/>
              </w:rPr>
              <w:t>国际港务区功能区</w:t>
            </w:r>
          </w:p>
        </w:tc>
        <w:tc>
          <w:tcPr>
            <w:tcW w:w="780"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自贸</w:t>
            </w:r>
          </w:p>
          <w:p>
            <w:pPr>
              <w:spacing w:line="320" w:lineRule="exact"/>
              <w:jc w:val="center"/>
              <w:rPr>
                <w:rFonts w:hint="eastAsia" w:ascii="仿宋" w:hAnsi="仿宋" w:eastAsia="仿宋" w:cs="仿宋"/>
                <w:szCs w:val="21"/>
              </w:rPr>
            </w:pPr>
            <w:r>
              <w:rPr>
                <w:rFonts w:hint="eastAsia" w:ascii="仿宋" w:hAnsi="仿宋" w:eastAsia="仿宋" w:cs="仿宋"/>
                <w:szCs w:val="21"/>
              </w:rPr>
              <w:t>试验</w:t>
            </w:r>
          </w:p>
          <w:p>
            <w:pPr>
              <w:spacing w:line="320" w:lineRule="exact"/>
              <w:jc w:val="center"/>
              <w:rPr>
                <w:rFonts w:hint="eastAsia" w:ascii="仿宋" w:hAnsi="仿宋" w:eastAsia="仿宋" w:cs="仿宋"/>
                <w:szCs w:val="21"/>
              </w:rPr>
            </w:pPr>
            <w:r>
              <w:rPr>
                <w:rFonts w:hint="eastAsia" w:ascii="仿宋" w:hAnsi="仿宋" w:eastAsia="仿宋" w:cs="仿宋"/>
                <w:szCs w:val="21"/>
              </w:rPr>
              <w:t>区</w:t>
            </w:r>
          </w:p>
        </w:tc>
        <w:tc>
          <w:tcPr>
            <w:tcW w:w="720"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复制</w:t>
            </w:r>
          </w:p>
        </w:tc>
        <w:tc>
          <w:tcPr>
            <w:tcW w:w="1168" w:type="dxa"/>
            <w:noWrap w:val="0"/>
            <w:vAlign w:val="center"/>
          </w:tcPr>
          <w:p>
            <w:pPr>
              <w:spacing w:line="320" w:lineRule="exact"/>
              <w:rPr>
                <w:rFonts w:hint="eastAsia" w:ascii="仿宋" w:hAnsi="仿宋" w:eastAsia="仿宋" w:cs="仿宋"/>
                <w:szCs w:val="21"/>
              </w:rPr>
            </w:pPr>
            <w:r>
              <w:rPr>
                <w:rFonts w:hint="eastAsia" w:ascii="仿宋" w:hAnsi="仿宋" w:eastAsia="仿宋" w:cs="仿宋"/>
                <w:szCs w:val="21"/>
              </w:rPr>
              <w:t>省司法厅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654" w:hRule="exact"/>
          <w:jc w:val="center"/>
        </w:trPr>
        <w:tc>
          <w:tcPr>
            <w:tcW w:w="572"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28</w:t>
            </w:r>
          </w:p>
        </w:tc>
        <w:tc>
          <w:tcPr>
            <w:tcW w:w="4410" w:type="dxa"/>
            <w:noWrap w:val="0"/>
            <w:vAlign w:val="center"/>
          </w:tcPr>
          <w:p>
            <w:pPr>
              <w:spacing w:line="320" w:lineRule="exact"/>
              <w:rPr>
                <w:rFonts w:hint="eastAsia" w:ascii="仿宋" w:hAnsi="仿宋" w:eastAsia="仿宋" w:cs="仿宋"/>
                <w:szCs w:val="21"/>
              </w:rPr>
            </w:pPr>
            <w:r>
              <w:rPr>
                <w:rFonts w:hint="eastAsia" w:ascii="仿宋" w:hAnsi="仿宋" w:eastAsia="仿宋" w:cs="仿宋"/>
                <w:b/>
                <w:bCs/>
                <w:szCs w:val="21"/>
              </w:rPr>
              <w:t>工程建设项目行政审批中介超市。</w:t>
            </w:r>
            <w:r>
              <w:rPr>
                <w:rFonts w:hint="eastAsia" w:ascii="仿宋" w:hAnsi="仿宋" w:eastAsia="仿宋" w:cs="仿宋"/>
                <w:szCs w:val="21"/>
              </w:rPr>
              <w:t>打造线上线下一体化的服务模式，将审批项目、中介事项、业主单位、中介机构等政务服务资源统一纳入中介超市，变“中介找项目”为“项目找中介”，不仅加快审批速度、提升审批质量、规范服务标准，同时方便了业主单位和中介机构进行双向对接，增加了中介收费的规范度和透明度。</w:t>
            </w:r>
          </w:p>
        </w:tc>
        <w:tc>
          <w:tcPr>
            <w:tcW w:w="1995" w:type="dxa"/>
            <w:noWrap w:val="0"/>
            <w:vAlign w:val="center"/>
          </w:tcPr>
          <w:p>
            <w:pPr>
              <w:spacing w:line="320" w:lineRule="exact"/>
              <w:rPr>
                <w:rFonts w:hint="eastAsia" w:ascii="仿宋" w:hAnsi="仿宋" w:eastAsia="仿宋" w:cs="仿宋"/>
                <w:szCs w:val="21"/>
              </w:rPr>
            </w:pPr>
            <w:r>
              <w:rPr>
                <w:rFonts w:hint="eastAsia" w:ascii="仿宋" w:hAnsi="仿宋" w:eastAsia="仿宋" w:cs="仿宋"/>
                <w:szCs w:val="21"/>
              </w:rPr>
              <w:t>高新区功能区</w:t>
            </w:r>
          </w:p>
        </w:tc>
        <w:tc>
          <w:tcPr>
            <w:tcW w:w="780"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协同</w:t>
            </w:r>
          </w:p>
          <w:p>
            <w:pPr>
              <w:spacing w:line="320" w:lineRule="exact"/>
              <w:jc w:val="center"/>
              <w:rPr>
                <w:rFonts w:hint="eastAsia" w:ascii="仿宋" w:hAnsi="仿宋" w:eastAsia="仿宋" w:cs="仿宋"/>
                <w:szCs w:val="21"/>
              </w:rPr>
            </w:pPr>
            <w:r>
              <w:rPr>
                <w:rFonts w:hint="eastAsia" w:ascii="仿宋" w:hAnsi="仿宋" w:eastAsia="仿宋" w:cs="仿宋"/>
                <w:szCs w:val="21"/>
              </w:rPr>
              <w:t>创新</w:t>
            </w:r>
          </w:p>
          <w:p>
            <w:pPr>
              <w:spacing w:line="320" w:lineRule="exact"/>
              <w:jc w:val="center"/>
              <w:rPr>
                <w:rFonts w:hint="eastAsia" w:ascii="仿宋" w:hAnsi="仿宋" w:eastAsia="仿宋" w:cs="仿宋"/>
                <w:szCs w:val="21"/>
              </w:rPr>
            </w:pPr>
            <w:r>
              <w:rPr>
                <w:rFonts w:hint="eastAsia" w:ascii="仿宋" w:hAnsi="仿宋" w:eastAsia="仿宋" w:cs="仿宋"/>
                <w:szCs w:val="21"/>
              </w:rPr>
              <w:t>区</w:t>
            </w:r>
          </w:p>
        </w:tc>
        <w:tc>
          <w:tcPr>
            <w:tcW w:w="720"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推广</w:t>
            </w:r>
          </w:p>
        </w:tc>
        <w:tc>
          <w:tcPr>
            <w:tcW w:w="1168" w:type="dxa"/>
            <w:noWrap w:val="0"/>
            <w:vAlign w:val="center"/>
          </w:tcPr>
          <w:p>
            <w:pPr>
              <w:spacing w:line="320" w:lineRule="exact"/>
              <w:rPr>
                <w:rFonts w:hint="eastAsia" w:ascii="仿宋" w:hAnsi="仿宋" w:eastAsia="仿宋" w:cs="仿宋"/>
                <w:szCs w:val="21"/>
              </w:rPr>
            </w:pPr>
            <w:r>
              <w:rPr>
                <w:rFonts w:hint="eastAsia" w:ascii="仿宋" w:hAnsi="仿宋" w:eastAsia="仿宋" w:cs="仿宋"/>
                <w:szCs w:val="21"/>
              </w:rPr>
              <w:t>各市（区）政府（管委会）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654" w:hRule="exact"/>
          <w:jc w:val="center"/>
        </w:trPr>
        <w:tc>
          <w:tcPr>
            <w:tcW w:w="572"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29</w:t>
            </w:r>
          </w:p>
        </w:tc>
        <w:tc>
          <w:tcPr>
            <w:tcW w:w="4410" w:type="dxa"/>
            <w:noWrap w:val="0"/>
            <w:vAlign w:val="center"/>
          </w:tcPr>
          <w:p>
            <w:pPr>
              <w:spacing w:line="320" w:lineRule="exact"/>
              <w:rPr>
                <w:rFonts w:hint="eastAsia" w:ascii="仿宋" w:hAnsi="仿宋" w:eastAsia="仿宋" w:cs="仿宋"/>
                <w:szCs w:val="21"/>
              </w:rPr>
            </w:pPr>
            <w:r>
              <w:rPr>
                <w:rFonts w:hint="eastAsia" w:ascii="仿宋" w:hAnsi="仿宋" w:eastAsia="仿宋" w:cs="仿宋"/>
                <w:b/>
                <w:bCs/>
                <w:szCs w:val="21"/>
              </w:rPr>
              <w:t>以租代建新模式。</w:t>
            </w:r>
            <w:r>
              <w:rPr>
                <w:rFonts w:hint="eastAsia" w:ascii="仿宋" w:hAnsi="仿宋" w:eastAsia="仿宋" w:cs="仿宋"/>
                <w:szCs w:val="21"/>
              </w:rPr>
              <w:t>对地块实施统一规划、设计、建设，并向社会公开待开发土地相关信息，根据企业用地需求适当调整设计方案，最大程度满足企业多元化需求。入驻企业签定弹性租期租赁合同，无需再投入资金自建厂房或经营场所，有效解决了部分企业用地成本和资金投入过大的问题，促进了市场主体集聚。</w:t>
            </w:r>
          </w:p>
        </w:tc>
        <w:tc>
          <w:tcPr>
            <w:tcW w:w="1995" w:type="dxa"/>
            <w:noWrap w:val="0"/>
            <w:vAlign w:val="center"/>
          </w:tcPr>
          <w:p>
            <w:pPr>
              <w:spacing w:line="320" w:lineRule="exact"/>
              <w:rPr>
                <w:rFonts w:hint="eastAsia" w:ascii="仿宋" w:hAnsi="仿宋" w:eastAsia="仿宋" w:cs="仿宋"/>
                <w:szCs w:val="21"/>
              </w:rPr>
            </w:pPr>
            <w:r>
              <w:rPr>
                <w:rFonts w:hint="eastAsia" w:ascii="仿宋" w:hAnsi="仿宋" w:eastAsia="仿宋" w:cs="仿宋"/>
                <w:szCs w:val="21"/>
              </w:rPr>
              <w:t>沣东新城功能区</w:t>
            </w:r>
          </w:p>
        </w:tc>
        <w:tc>
          <w:tcPr>
            <w:tcW w:w="780"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协同</w:t>
            </w:r>
          </w:p>
          <w:p>
            <w:pPr>
              <w:spacing w:line="320" w:lineRule="exact"/>
              <w:jc w:val="center"/>
              <w:rPr>
                <w:rFonts w:hint="eastAsia" w:ascii="仿宋" w:hAnsi="仿宋" w:eastAsia="仿宋" w:cs="仿宋"/>
                <w:szCs w:val="21"/>
              </w:rPr>
            </w:pPr>
            <w:r>
              <w:rPr>
                <w:rFonts w:hint="eastAsia" w:ascii="仿宋" w:hAnsi="仿宋" w:eastAsia="仿宋" w:cs="仿宋"/>
                <w:szCs w:val="21"/>
              </w:rPr>
              <w:t>创新</w:t>
            </w:r>
          </w:p>
          <w:p>
            <w:pPr>
              <w:spacing w:line="320" w:lineRule="exact"/>
              <w:jc w:val="center"/>
              <w:rPr>
                <w:rFonts w:hint="eastAsia" w:ascii="仿宋" w:hAnsi="仿宋" w:eastAsia="仿宋" w:cs="仿宋"/>
                <w:szCs w:val="21"/>
              </w:rPr>
            </w:pPr>
            <w:r>
              <w:rPr>
                <w:rFonts w:hint="eastAsia" w:ascii="仿宋" w:hAnsi="仿宋" w:eastAsia="仿宋" w:cs="仿宋"/>
                <w:szCs w:val="21"/>
              </w:rPr>
              <w:t>区</w:t>
            </w:r>
          </w:p>
        </w:tc>
        <w:tc>
          <w:tcPr>
            <w:tcW w:w="720"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推广</w:t>
            </w:r>
          </w:p>
        </w:tc>
        <w:tc>
          <w:tcPr>
            <w:tcW w:w="1168" w:type="dxa"/>
            <w:noWrap w:val="0"/>
            <w:vAlign w:val="center"/>
          </w:tcPr>
          <w:p>
            <w:pPr>
              <w:spacing w:line="320" w:lineRule="exact"/>
              <w:rPr>
                <w:rFonts w:hint="eastAsia" w:ascii="仿宋" w:hAnsi="仿宋" w:eastAsia="仿宋" w:cs="仿宋"/>
                <w:szCs w:val="21"/>
              </w:rPr>
            </w:pPr>
            <w:r>
              <w:rPr>
                <w:rFonts w:hint="eastAsia" w:ascii="仿宋" w:hAnsi="仿宋" w:eastAsia="仿宋" w:cs="仿宋"/>
                <w:szCs w:val="21"/>
              </w:rPr>
              <w:t>省自然资源厅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43" w:hRule="exact"/>
          <w:jc w:val="center"/>
        </w:trPr>
        <w:tc>
          <w:tcPr>
            <w:tcW w:w="572"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30</w:t>
            </w:r>
          </w:p>
        </w:tc>
        <w:tc>
          <w:tcPr>
            <w:tcW w:w="4410" w:type="dxa"/>
            <w:noWrap w:val="0"/>
            <w:vAlign w:val="center"/>
          </w:tcPr>
          <w:p>
            <w:pPr>
              <w:spacing w:line="320" w:lineRule="exact"/>
              <w:rPr>
                <w:rFonts w:hint="eastAsia" w:ascii="仿宋" w:hAnsi="仿宋" w:eastAsia="仿宋" w:cs="仿宋"/>
                <w:szCs w:val="21"/>
              </w:rPr>
            </w:pPr>
            <w:r>
              <w:rPr>
                <w:rFonts w:hint="eastAsia" w:ascii="仿宋" w:hAnsi="仿宋" w:eastAsia="仿宋" w:cs="仿宋"/>
                <w:b/>
                <w:bCs/>
                <w:szCs w:val="21"/>
              </w:rPr>
              <w:t>土地信息公示制度。</w:t>
            </w:r>
            <w:r>
              <w:rPr>
                <w:rFonts w:hint="eastAsia" w:ascii="仿宋" w:hAnsi="仿宋" w:eastAsia="仿宋" w:cs="仿宋"/>
                <w:szCs w:val="21"/>
              </w:rPr>
              <w:t>围绕吸引开发投资的各项因素，制定《读地手册》，分别从区位、产业、人才、配套、环境等角度多元化展示地块优势，方便投资者了解各个地块信息，更科学合理地做出投资决策。</w:t>
            </w:r>
          </w:p>
        </w:tc>
        <w:tc>
          <w:tcPr>
            <w:tcW w:w="1995" w:type="dxa"/>
            <w:noWrap w:val="0"/>
            <w:vAlign w:val="center"/>
          </w:tcPr>
          <w:p>
            <w:pPr>
              <w:spacing w:line="320" w:lineRule="exact"/>
              <w:rPr>
                <w:rFonts w:hint="eastAsia" w:ascii="仿宋" w:hAnsi="仿宋" w:eastAsia="仿宋" w:cs="仿宋"/>
                <w:szCs w:val="21"/>
              </w:rPr>
            </w:pPr>
            <w:r>
              <w:rPr>
                <w:rFonts w:hint="eastAsia" w:ascii="仿宋" w:hAnsi="仿宋" w:eastAsia="仿宋" w:cs="仿宋"/>
                <w:szCs w:val="21"/>
              </w:rPr>
              <w:t>高新区功能区</w:t>
            </w:r>
          </w:p>
        </w:tc>
        <w:tc>
          <w:tcPr>
            <w:tcW w:w="780"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协同</w:t>
            </w:r>
          </w:p>
          <w:p>
            <w:pPr>
              <w:spacing w:line="320" w:lineRule="exact"/>
              <w:jc w:val="center"/>
              <w:rPr>
                <w:rFonts w:hint="eastAsia" w:ascii="仿宋" w:hAnsi="仿宋" w:eastAsia="仿宋" w:cs="仿宋"/>
                <w:szCs w:val="21"/>
              </w:rPr>
            </w:pPr>
            <w:r>
              <w:rPr>
                <w:rFonts w:hint="eastAsia" w:ascii="仿宋" w:hAnsi="仿宋" w:eastAsia="仿宋" w:cs="仿宋"/>
                <w:szCs w:val="21"/>
              </w:rPr>
              <w:t>创新</w:t>
            </w:r>
          </w:p>
          <w:p>
            <w:pPr>
              <w:spacing w:line="320" w:lineRule="exact"/>
              <w:jc w:val="center"/>
              <w:rPr>
                <w:rFonts w:hint="eastAsia" w:ascii="仿宋" w:hAnsi="仿宋" w:eastAsia="仿宋" w:cs="仿宋"/>
                <w:szCs w:val="21"/>
              </w:rPr>
            </w:pPr>
            <w:r>
              <w:rPr>
                <w:rFonts w:hint="eastAsia" w:ascii="仿宋" w:hAnsi="仿宋" w:eastAsia="仿宋" w:cs="仿宋"/>
                <w:szCs w:val="21"/>
              </w:rPr>
              <w:t>区</w:t>
            </w:r>
          </w:p>
        </w:tc>
        <w:tc>
          <w:tcPr>
            <w:tcW w:w="720" w:type="dxa"/>
            <w:noWrap w:val="0"/>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推广</w:t>
            </w:r>
          </w:p>
        </w:tc>
        <w:tc>
          <w:tcPr>
            <w:tcW w:w="1168" w:type="dxa"/>
            <w:noWrap w:val="0"/>
            <w:vAlign w:val="center"/>
          </w:tcPr>
          <w:p>
            <w:pPr>
              <w:spacing w:line="320" w:lineRule="exact"/>
              <w:rPr>
                <w:rFonts w:hint="eastAsia" w:ascii="仿宋" w:hAnsi="仿宋" w:eastAsia="仿宋" w:cs="仿宋"/>
                <w:szCs w:val="21"/>
              </w:rPr>
            </w:pPr>
            <w:r>
              <w:rPr>
                <w:rFonts w:hint="eastAsia" w:ascii="仿宋" w:hAnsi="仿宋" w:eastAsia="仿宋" w:cs="仿宋"/>
                <w:szCs w:val="21"/>
              </w:rPr>
              <w:t>各市（区）政府（管委会）</w:t>
            </w:r>
          </w:p>
        </w:tc>
      </w:tr>
    </w:tbl>
    <w:p>
      <w:pPr>
        <w:spacing w:line="320" w:lineRule="exact"/>
        <w:ind w:left="720" w:hanging="720" w:hangingChars="300"/>
        <w:rPr>
          <w:rFonts w:hint="eastAsia" w:ascii="楷体" w:hAnsi="楷体" w:eastAsia="楷体" w:cs="楷体"/>
          <w:sz w:val="24"/>
          <w:szCs w:val="24"/>
        </w:rPr>
      </w:pPr>
      <w:r>
        <w:rPr>
          <w:rFonts w:hint="eastAsia" w:ascii="楷体" w:hAnsi="楷体" w:eastAsia="楷体" w:cs="楷体"/>
          <w:sz w:val="24"/>
          <w:szCs w:val="24"/>
        </w:rPr>
        <w:t>备注：复制类13项，由各市（区）政府（管委会）按照要求在相关区域落地；推广类17项，各市（区）政府（管委会）根据实际情况学习借鉴。</w:t>
      </w:r>
    </w:p>
    <w:p>
      <w:pPr>
        <w:pStyle w:val="12"/>
        <w:keepNext w:val="0"/>
        <w:keepLines w:val="0"/>
        <w:pageBreakBefore w:val="0"/>
        <w:kinsoku/>
        <w:wordWrap/>
        <w:overflowPunct/>
        <w:topLinePunct w:val="0"/>
        <w:autoSpaceDE/>
        <w:autoSpaceDN/>
        <w:bidi w:val="0"/>
        <w:adjustRightInd/>
        <w:snapToGrid/>
        <w:spacing w:line="600" w:lineRule="exact"/>
        <w:ind w:left="0" w:leftChars="0" w:firstLine="0" w:firstLineChars="0"/>
        <w:textAlignment w:val="auto"/>
        <w:outlineLvl w:val="9"/>
        <w:rPr>
          <w:rFonts w:hint="default" w:ascii="Times New Roman" w:hAnsi="Times New Roman" w:eastAsia="仿宋_GB2312" w:cs="Times New Roman"/>
          <w:color w:val="000000"/>
          <w:sz w:val="32"/>
          <w:szCs w:val="32"/>
        </w:rPr>
      </w:pPr>
    </w:p>
    <w:p>
      <w:pPr>
        <w:snapToGrid w:val="0"/>
        <w:spacing w:line="560" w:lineRule="exact"/>
        <w:jc w:val="center"/>
        <w:rPr>
          <w:rFonts w:hint="eastAsia" w:ascii="方正小标宋简体" w:hAnsi="方正小标宋简体" w:eastAsia="方正小标宋简体" w:cs="方正小标宋简体"/>
          <w:spacing w:val="-19"/>
          <w:sz w:val="44"/>
          <w:szCs w:val="44"/>
        </w:rPr>
      </w:pPr>
    </w:p>
    <w:p>
      <w:pPr>
        <w:snapToGrid w:val="0"/>
        <w:spacing w:line="560" w:lineRule="exact"/>
        <w:jc w:val="center"/>
        <w:rPr>
          <w:rFonts w:hint="eastAsia" w:ascii="方正小标宋简体" w:hAnsi="方正小标宋简体" w:eastAsia="方正小标宋简体" w:cs="方正小标宋简体"/>
          <w:spacing w:val="-19"/>
          <w:sz w:val="44"/>
          <w:szCs w:val="44"/>
        </w:rPr>
      </w:pPr>
    </w:p>
    <w:p>
      <w:pPr>
        <w:snapToGrid w:val="0"/>
        <w:spacing w:line="560" w:lineRule="exact"/>
        <w:jc w:val="center"/>
        <w:rPr>
          <w:rFonts w:hint="eastAsia" w:ascii="方正小标宋简体" w:hAnsi="方正小标宋简体" w:eastAsia="方正小标宋简体" w:cs="方正小标宋简体"/>
          <w:spacing w:val="-19"/>
          <w:sz w:val="44"/>
          <w:szCs w:val="44"/>
        </w:rPr>
      </w:pPr>
    </w:p>
    <w:p>
      <w:pPr>
        <w:snapToGrid w:val="0"/>
        <w:spacing w:line="560" w:lineRule="exact"/>
        <w:jc w:val="center"/>
        <w:rPr>
          <w:rFonts w:hint="eastAsia" w:ascii="方正小标宋简体" w:hAnsi="方正小标宋简体" w:eastAsia="方正小标宋简体" w:cs="方正小标宋简体"/>
          <w:spacing w:val="-19"/>
          <w:sz w:val="44"/>
          <w:szCs w:val="44"/>
        </w:rPr>
      </w:pPr>
    </w:p>
    <w:p>
      <w:pPr>
        <w:snapToGrid w:val="0"/>
        <w:spacing w:line="560" w:lineRule="exact"/>
        <w:jc w:val="center"/>
        <w:rPr>
          <w:rFonts w:hint="eastAsia" w:ascii="方正小标宋简体" w:hAnsi="方正小标宋简体" w:eastAsia="方正小标宋简体" w:cs="方正小标宋简体"/>
          <w:spacing w:val="-19"/>
          <w:sz w:val="44"/>
          <w:szCs w:val="44"/>
        </w:rPr>
      </w:pPr>
    </w:p>
    <w:p>
      <w:pPr>
        <w:snapToGrid w:val="0"/>
        <w:spacing w:line="560" w:lineRule="exact"/>
        <w:jc w:val="center"/>
        <w:rPr>
          <w:rFonts w:hint="eastAsia" w:ascii="方正小标宋简体" w:hAnsi="方正小标宋简体" w:eastAsia="方正小标宋简体" w:cs="方正小标宋简体"/>
          <w:spacing w:val="-19"/>
          <w:sz w:val="44"/>
          <w:szCs w:val="44"/>
        </w:rPr>
      </w:pPr>
    </w:p>
    <w:p>
      <w:pPr>
        <w:snapToGrid w:val="0"/>
        <w:spacing w:line="560" w:lineRule="exact"/>
        <w:jc w:val="center"/>
        <w:rPr>
          <w:rFonts w:hint="eastAsia" w:ascii="方正小标宋简体" w:hAnsi="方正小标宋简体" w:eastAsia="方正小标宋简体" w:cs="方正小标宋简体"/>
          <w:spacing w:val="-19"/>
          <w:sz w:val="44"/>
          <w:szCs w:val="44"/>
        </w:rPr>
      </w:pPr>
    </w:p>
    <w:p>
      <w:pPr>
        <w:snapToGrid w:val="0"/>
        <w:spacing w:line="560" w:lineRule="exact"/>
        <w:jc w:val="center"/>
        <w:rPr>
          <w:rFonts w:hint="eastAsia" w:ascii="方正小标宋简体" w:hAnsi="方正小标宋简体" w:eastAsia="方正小标宋简体" w:cs="方正小标宋简体"/>
          <w:spacing w:val="-19"/>
          <w:sz w:val="44"/>
          <w:szCs w:val="44"/>
        </w:rPr>
      </w:pPr>
    </w:p>
    <w:p>
      <w:pPr>
        <w:snapToGrid w:val="0"/>
        <w:spacing w:line="560" w:lineRule="exact"/>
        <w:jc w:val="center"/>
        <w:rPr>
          <w:rFonts w:hint="eastAsia" w:ascii="方正小标宋简体" w:hAnsi="方正小标宋简体" w:eastAsia="方正小标宋简体" w:cs="方正小标宋简体"/>
          <w:spacing w:val="-19"/>
          <w:sz w:val="44"/>
          <w:szCs w:val="44"/>
        </w:rPr>
      </w:pPr>
    </w:p>
    <w:p>
      <w:pPr>
        <w:snapToGrid w:val="0"/>
        <w:spacing w:line="560" w:lineRule="exact"/>
        <w:jc w:val="center"/>
        <w:rPr>
          <w:rFonts w:hint="eastAsia" w:ascii="方正小标宋简体" w:hAnsi="方正小标宋简体" w:eastAsia="方正小标宋简体" w:cs="方正小标宋简体"/>
          <w:spacing w:val="-19"/>
          <w:sz w:val="44"/>
          <w:szCs w:val="44"/>
        </w:rPr>
      </w:pPr>
    </w:p>
    <w:p>
      <w:pPr>
        <w:snapToGrid w:val="0"/>
        <w:spacing w:line="560" w:lineRule="exact"/>
        <w:jc w:val="center"/>
        <w:rPr>
          <w:rFonts w:hint="eastAsia" w:ascii="方正小标宋简体" w:hAnsi="方正小标宋简体" w:eastAsia="方正小标宋简体" w:cs="方正小标宋简体"/>
          <w:spacing w:val="-19"/>
          <w:sz w:val="44"/>
          <w:szCs w:val="44"/>
        </w:rPr>
      </w:pPr>
    </w:p>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方正小标宋简体">
    <w:altName w:val="方正舒体"/>
    <w:panose1 w:val="03000509000000000000"/>
    <w:charset w:val="86"/>
    <w:family w:val="script"/>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_GBK">
    <w:altName w:val="微软雅黑"/>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舒体">
    <w:panose1 w:val="02010601030101010101"/>
    <w:charset w:val="86"/>
    <w:family w:val="auto"/>
    <w:pitch w:val="default"/>
    <w:sig w:usb0="00000003"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tabs>
        <w:tab w:val="right" w:pos="8868"/>
        <w:tab w:val="clear" w:pos="4153"/>
      </w:tabs>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-100965</wp:posOffset>
              </wp:positionV>
              <wp:extent cx="442595" cy="232410"/>
              <wp:effectExtent l="0" t="0" r="0" b="0"/>
              <wp:wrapNone/>
              <wp:docPr id="1" name="文本框 1"/>
              <wp:cNvGraphicFramePr/>
              <a:graphic xmlns:a="http://schemas.openxmlformats.org/drawingml/2006/main">
                <a:graphicData uri="http://schemas.microsoft.com/office/word/2010/wordprocessingShape">
                  <wps:wsp>
                    <wps:cNvSpPr txBox="1"/>
                    <wps:spPr>
                      <a:xfrm>
                        <a:off x="0" y="0"/>
                        <a:ext cx="442595" cy="232410"/>
                      </a:xfrm>
                      <a:prstGeom prst="rect">
                        <a:avLst/>
                      </a:prstGeom>
                      <a:noFill/>
                      <a:ln w="15875">
                        <a:noFill/>
                      </a:ln>
                    </wps:spPr>
                    <wps:txbx>
                      <w:txbxContent>
                        <w:p>
                          <w:pPr>
                            <w:pStyle w:val="5"/>
                            <w:rPr>
                              <w:rFonts w:hint="default" w:ascii="Times New Roman" w:hAnsi="Times New Roman" w:eastAsia="宋体" w:cs="Times New Roman"/>
                              <w:sz w:val="24"/>
                              <w:szCs w:val="24"/>
                              <w:lang w:eastAsia="zh-CN"/>
                            </w:rPr>
                          </w:pPr>
                          <w:r>
                            <w:rPr>
                              <w:rFonts w:hint="default" w:ascii="Times New Roman" w:hAnsi="Times New Roman" w:cs="Times New Roman"/>
                              <w:sz w:val="24"/>
                              <w:szCs w:val="24"/>
                              <w:lang w:eastAsia="zh-CN"/>
                            </w:rPr>
                            <w:fldChar w:fldCharType="begin"/>
                          </w:r>
                          <w:r>
                            <w:rPr>
                              <w:rFonts w:hint="default" w:ascii="Times New Roman" w:hAnsi="Times New Roman" w:cs="Times New Roman"/>
                              <w:sz w:val="24"/>
                              <w:szCs w:val="24"/>
                              <w:lang w:eastAsia="zh-CN"/>
                            </w:rPr>
                            <w:instrText xml:space="preserve"> PAGE  \* MERGEFORMAT </w:instrText>
                          </w:r>
                          <w:r>
                            <w:rPr>
                              <w:rFonts w:hint="default" w:ascii="Times New Roman" w:hAnsi="Times New Roman" w:cs="Times New Roman"/>
                              <w:sz w:val="24"/>
                              <w:szCs w:val="24"/>
                              <w:lang w:eastAsia="zh-CN"/>
                            </w:rPr>
                            <w:fldChar w:fldCharType="separate"/>
                          </w:r>
                          <w:r>
                            <w:rPr>
                              <w:rFonts w:hint="default" w:ascii="Times New Roman" w:hAnsi="Times New Roman" w:cs="Times New Roman"/>
                              <w:sz w:val="24"/>
                              <w:szCs w:val="24"/>
                              <w:lang w:eastAsia="zh-CN"/>
                            </w:rPr>
                            <w:t>- 1 -</w:t>
                          </w:r>
                          <w:r>
                            <w:rPr>
                              <w:rFonts w:hint="default" w:ascii="Times New Roman" w:hAnsi="Times New Roman" w:cs="Times New Roman"/>
                              <w:sz w:val="24"/>
                              <w:szCs w:val="24"/>
                              <w:lang w:eastAsia="zh-CN"/>
                            </w:rPr>
                            <w:fldChar w:fldCharType="end"/>
                          </w:r>
                        </w:p>
                      </w:txbxContent>
                    </wps:txbx>
                    <wps:bodyPr lIns="0" tIns="0" rIns="0" bIns="0" upright="0"/>
                  </wps:wsp>
                </a:graphicData>
              </a:graphic>
            </wp:anchor>
          </w:drawing>
        </mc:Choice>
        <mc:Fallback>
          <w:pict>
            <v:shape id="_x0000_s1026" o:spid="_x0000_s1026" o:spt="202" type="#_x0000_t202" style="position:absolute;left:0pt;margin-top:-7.95pt;height:18.3pt;width:34.85pt;mso-position-horizontal:center;mso-position-horizontal-relative:margin;z-index:251666432;mso-width-relative:page;mso-height-relative:page;" filled="f" stroked="f" coordsize="21600,21600" o:gfxdata="UEsDBAoAAAAAAIdO4kAAAAAAAAAAAAAAAAAEAAAAZHJzL1BLAwQUAAAACACHTuJAn4rK5NYAAAAG&#10;AQAADwAAAGRycy9kb3ducmV2LnhtbE2PwU7DMBBE70j8g7VIXFBrp6gpDXEqVAkhcYLABzjxEkfE&#10;a8t205avx5zocTSjmTf17mQnNmOIoyMJxVIAQ+qdHmmQ8PnxvHgAFpMirSZHKOGMEXbN9VWtKu2O&#10;9I5zmwaWSyhWSoJJyVecx96gVXHpPFL2vlywKmUZBq6DOuZyO/GVECW3aqS8YJTHvcH+uz1YCe1r&#10;ug/7l7U385O/028/XV+eg5S3N4V4BJbwlP7D8Ief0aHJTJ07kI5skpCPJAmLYr0Flu1yuwHWSViJ&#10;DfCm5pf4zS9QSwMEFAAAAAgAh07iQP9ofR6oAQAALQMAAA4AAABkcnMvZTJvRG9jLnhtbK1SzW4T&#10;MRC+I/EOlu/NJtuklFU2lVBVhIQoUuEBHK+dtWR7rLGb3bwAvAGnXnrnufIcjN0kRfRWcbHH8/N5&#10;vm9meTU6y7YKowHf8tlkypnyEjrjNy3//u3m7JKzmITvhAWvWr5TkV+t3r5ZDqFRNfRgO4WMQHxs&#10;htDyPqXQVFWUvXIiTiAoT0EN6ESiJ26qDsVA6M5W9XR6UQ2AXUCQKkbyXj8F+arga61kutU6qsRs&#10;y6m3VE4s5zqf1Wopmg2K0Bt5aEO8ogsnjKdPT1DXIgl2j+YFlDMSIYJOEwmuAq2NVIUDsZlN/2Fz&#10;14ugChcSJ4aTTPH/wcov26/ITEez48wLRyPa//q5f/i9f/zBZlmeIcSGsu4C5aXxA4w59eCP5Mys&#10;R40u38SHUZyE3p3EVWNikpzzeb14v+BMUqg+r+ezIn71XBwwpo8KHMtGy5FmVyQV288x0YeUekzJ&#10;f3m4MdaW+VnPBupqcfluUSpOISqxniozh6des5XG9XggsIZuR7zsJ0+a5v04Gng01kfjPqDZ9GWB&#10;cjMZiGZS2jrsTx763++S9bzlqz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AXBAAAW0NvbnRlbnRfVHlwZXNdLnhtbFBLAQIUAAoAAAAAAIdO4kAA&#10;AAAAAAAAAAAAAAAGAAAAAAAAAAAAEAAAAPkCAABfcmVscy9QSwECFAAUAAAACACHTuJAihRmPNEA&#10;AACUAQAACwAAAAAAAAABACAAAAAdAwAAX3JlbHMvLnJlbHNQSwECFAAKAAAAAACHTuJAAAAAAAAA&#10;AAAAAAAABAAAAAAAAAAAABAAAAAAAAAAZHJzL1BLAQIUABQAAAAIAIdO4kCfisrk1gAAAAYBAAAP&#10;AAAAAAAAAAEAIAAAACIAAABkcnMvZG93bnJldi54bWxQSwECFAAUAAAACACHTuJA/2h9HqgBAAAt&#10;AwAADgAAAAAAAAABACAAAAAlAQAAZHJzL2Uyb0RvYy54bWxQSwUGAAAAAAYABgBZAQAAPwUAAAAA&#10;">
              <v:fill on="f" focussize="0,0"/>
              <v:stroke on="f" weight="1.25pt"/>
              <v:imagedata o:title=""/>
              <o:lock v:ext="edit" aspectratio="f"/>
              <v:textbox inset="0mm,0mm,0mm,0mm">
                <w:txbxContent>
                  <w:p>
                    <w:pPr>
                      <w:pStyle w:val="5"/>
                      <w:rPr>
                        <w:rFonts w:hint="default" w:ascii="Times New Roman" w:hAnsi="Times New Roman" w:eastAsia="宋体" w:cs="Times New Roman"/>
                        <w:sz w:val="24"/>
                        <w:szCs w:val="24"/>
                        <w:lang w:eastAsia="zh-CN"/>
                      </w:rPr>
                    </w:pPr>
                    <w:r>
                      <w:rPr>
                        <w:rFonts w:hint="default" w:ascii="Times New Roman" w:hAnsi="Times New Roman" w:cs="Times New Roman"/>
                        <w:sz w:val="24"/>
                        <w:szCs w:val="24"/>
                        <w:lang w:eastAsia="zh-CN"/>
                      </w:rPr>
                      <w:fldChar w:fldCharType="begin"/>
                    </w:r>
                    <w:r>
                      <w:rPr>
                        <w:rFonts w:hint="default" w:ascii="Times New Roman" w:hAnsi="Times New Roman" w:cs="Times New Roman"/>
                        <w:sz w:val="24"/>
                        <w:szCs w:val="24"/>
                        <w:lang w:eastAsia="zh-CN"/>
                      </w:rPr>
                      <w:instrText xml:space="preserve"> PAGE  \* MERGEFORMAT </w:instrText>
                    </w:r>
                    <w:r>
                      <w:rPr>
                        <w:rFonts w:hint="default" w:ascii="Times New Roman" w:hAnsi="Times New Roman" w:cs="Times New Roman"/>
                        <w:sz w:val="24"/>
                        <w:szCs w:val="24"/>
                        <w:lang w:eastAsia="zh-CN"/>
                      </w:rPr>
                      <w:fldChar w:fldCharType="separate"/>
                    </w:r>
                    <w:r>
                      <w:rPr>
                        <w:rFonts w:hint="default" w:ascii="Times New Roman" w:hAnsi="Times New Roman" w:cs="Times New Roman"/>
                        <w:sz w:val="24"/>
                        <w:szCs w:val="24"/>
                        <w:lang w:eastAsia="zh-CN"/>
                      </w:rPr>
                      <w:t>- 1 -</w:t>
                    </w:r>
                    <w:r>
                      <w:rPr>
                        <w:rFonts w:hint="default" w:ascii="Times New Roman" w:hAnsi="Times New Roman" w:cs="Times New Roman"/>
                        <w:sz w:val="24"/>
                        <w:szCs w:val="24"/>
                        <w:lang w:eastAsia="zh-CN"/>
                      </w:rPr>
                      <w:fldChar w:fldCharType="end"/>
                    </w:r>
                  </w:p>
                </w:txbxContent>
              </v:textbox>
            </v:shape>
          </w:pict>
        </mc:Fallback>
      </mc:AlternateContent>
    </w:r>
    <w:r>
      <w:rPr>
        <w:rFonts w:hint="eastAsia"/>
        <w:lang w:eastAsia="zh-CN"/>
      </w:rPr>
      <w:tab/>
    </w:r>
    <w:r>
      <w:rPr>
        <w:rFonts w:hint="eastAsia"/>
        <w:lang w:eastAsia="zh-CN"/>
      </w:rP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4E07326"/>
    <w:rsid w:val="257C56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99"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9">
    <w:name w:val="Default Paragraph Font"/>
    <w:link w:val="10"/>
    <w:semiHidden/>
    <w:uiPriority w:val="0"/>
  </w:style>
  <w:style w:type="table" w:default="1" w:styleId="7">
    <w:name w:val="Normal Table"/>
    <w:semiHidden/>
    <w:qFormat/>
    <w:uiPriority w:val="0"/>
    <w:tblPr>
      <w:tblLayout w:type="fixed"/>
      <w:tblCellMar>
        <w:top w:w="0" w:type="dxa"/>
        <w:left w:w="108" w:type="dxa"/>
        <w:bottom w:w="0" w:type="dxa"/>
        <w:right w:w="108" w:type="dxa"/>
      </w:tblCellMar>
    </w:tblPr>
  </w:style>
  <w:style w:type="paragraph" w:styleId="2">
    <w:name w:val="Plain Text"/>
    <w:basedOn w:val="1"/>
    <w:qFormat/>
    <w:uiPriority w:val="99"/>
    <w:rPr>
      <w:rFonts w:ascii="宋体" w:hAnsi="Courier New" w:cs="黑体"/>
    </w:rPr>
  </w:style>
  <w:style w:type="paragraph" w:styleId="3">
    <w:name w:val="index 5"/>
    <w:basedOn w:val="1"/>
    <w:next w:val="1"/>
    <w:semiHidden/>
    <w:qFormat/>
    <w:uiPriority w:val="99"/>
    <w:pPr>
      <w:spacing w:line="576" w:lineRule="exact"/>
    </w:pPr>
    <w:rPr>
      <w:rFonts w:ascii="仿宋_GB2312" w:hAnsi="仿宋_GB2312" w:eastAsia="黑体" w:cs="仿宋_GB2312"/>
      <w:color w:val="FF0000"/>
    </w:rPr>
  </w:style>
  <w:style w:type="paragraph" w:styleId="4">
    <w:name w:val="Body Text"/>
    <w:basedOn w:val="1"/>
    <w:next w:val="3"/>
    <w:qFormat/>
    <w:uiPriority w:val="0"/>
    <w:pPr>
      <w:widowControl w:val="0"/>
      <w:spacing w:after="120" w:line="240" w:lineRule="auto"/>
      <w:jc w:val="both"/>
    </w:pPr>
    <w:rPr>
      <w:rFonts w:ascii="Calibri" w:hAnsi="Calibri" w:eastAsia="宋体" w:cs="Times New Roman"/>
      <w:kern w:val="2"/>
      <w:sz w:val="21"/>
      <w:lang w:val="en-US"/>
    </w:rPr>
  </w:style>
  <w:style w:type="paragraph" w:styleId="5">
    <w:name w:val="footer"/>
    <w:basedOn w:val="1"/>
    <w:uiPriority w:val="0"/>
    <w:pPr>
      <w:tabs>
        <w:tab w:val="center" w:pos="4153"/>
        <w:tab w:val="right" w:pos="8306"/>
      </w:tabs>
      <w:snapToGrid w:val="0"/>
      <w:jc w:val="left"/>
    </w:pPr>
    <w:rPr>
      <w:sz w:val="18"/>
    </w:rPr>
  </w:style>
  <w:style w:type="paragraph" w:styleId="6">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8">
    <w:name w:val="Table Grid"/>
    <w:basedOn w:val="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10">
    <w:name w:val=" Char Char Char Char Char Char Char"/>
    <w:basedOn w:val="1"/>
    <w:link w:val="9"/>
    <w:qFormat/>
    <w:uiPriority w:val="0"/>
    <w:pPr>
      <w:snapToGrid w:val="0"/>
      <w:spacing w:line="360" w:lineRule="auto"/>
      <w:ind w:firstLine="200" w:firstLineChars="200"/>
    </w:pPr>
  </w:style>
  <w:style w:type="character" w:styleId="11">
    <w:name w:val="Strong"/>
    <w:basedOn w:val="9"/>
    <w:qFormat/>
    <w:uiPriority w:val="0"/>
    <w:rPr>
      <w:b/>
    </w:rPr>
  </w:style>
  <w:style w:type="paragraph" w:customStyle="1" w:styleId="12">
    <w:name w:val="Normal Indent"/>
    <w:basedOn w:val="1"/>
    <w:qFormat/>
    <w:uiPriority w:val="0"/>
    <w:pPr>
      <w:ind w:firstLine="200" w:firstLineChars="200"/>
    </w:pPr>
    <w:rPr>
      <w:rFonts w:eastAsia="楷体_GB231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Office_11.8.2.8621_F1E327BC-269C-435d-A152-05C5408002CA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2023-01-13T02:14:00Z</dcterms:created>
  <dc:creator>yu123</dc:creator>
  <cp:lastModifiedBy>yu123</cp:lastModifiedBy>
  <dcterms:modified xsi:type="dcterms:W3CDTF">2023-01-13T02:16:42Z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2052-11.8.2.8621</vt:lpwstr>
  </property>
</Properties>
</file>