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60" w:lineRule="exact"/>
        <w:jc w:val="center"/>
        <w:rPr>
          <w:rFonts w:hint="eastAsia" w:ascii="方正小标宋简体" w:hAnsi="方正小标宋简体" w:eastAsia="方正小标宋简体" w:cs="方正小标宋简体"/>
          <w:spacing w:val="-19"/>
          <w:sz w:val="44"/>
          <w:szCs w:val="44"/>
        </w:rPr>
      </w:pPr>
      <w:r>
        <w:rPr>
          <w:rFonts w:hint="eastAsia" w:ascii="方正小标宋简体" w:hAnsi="方正小标宋简体" w:eastAsia="方正小标宋简体" w:cs="方正小标宋简体"/>
          <w:spacing w:val="-19"/>
          <w:sz w:val="44"/>
          <w:szCs w:val="44"/>
        </w:rPr>
        <w:t>关于印发中国（陕西）自由贸易试验区新一批</w:t>
      </w:r>
    </w:p>
    <w:p>
      <w:pPr>
        <w:snapToGrid w:val="0"/>
        <w:spacing w:line="560" w:lineRule="exact"/>
        <w:jc w:val="center"/>
        <w:rPr>
          <w:rFonts w:hint="eastAsia" w:ascii="方正小标宋简体" w:hAnsi="方正小标宋简体" w:eastAsia="方正小标宋简体" w:cs="方正小标宋简体"/>
          <w:spacing w:val="-19"/>
          <w:sz w:val="44"/>
          <w:szCs w:val="44"/>
        </w:rPr>
      </w:pPr>
      <w:r>
        <w:rPr>
          <w:rFonts w:hint="eastAsia" w:ascii="方正小标宋简体" w:hAnsi="方正小标宋简体" w:eastAsia="方正小标宋简体" w:cs="方正小标宋简体"/>
          <w:spacing w:val="-19"/>
          <w:sz w:val="44"/>
          <w:szCs w:val="44"/>
          <w:lang w:eastAsia="zh-CN"/>
        </w:rPr>
        <w:t>“</w:t>
      </w:r>
      <w:r>
        <w:rPr>
          <w:rFonts w:hint="eastAsia" w:ascii="方正小标宋简体" w:hAnsi="方正小标宋简体" w:eastAsia="方正小标宋简体" w:cs="方正小标宋简体"/>
          <w:spacing w:val="-19"/>
          <w:sz w:val="44"/>
          <w:szCs w:val="44"/>
        </w:rPr>
        <w:t>最佳实践案例</w:t>
      </w:r>
      <w:r>
        <w:rPr>
          <w:rFonts w:hint="eastAsia" w:ascii="方正小标宋简体" w:hAnsi="方正小标宋简体" w:eastAsia="方正小标宋简体" w:cs="方正小标宋简体"/>
          <w:spacing w:val="-19"/>
          <w:sz w:val="44"/>
          <w:szCs w:val="44"/>
          <w:lang w:eastAsia="zh-CN"/>
        </w:rPr>
        <w:t>”</w:t>
      </w:r>
      <w:r>
        <w:rPr>
          <w:rFonts w:hint="eastAsia" w:ascii="方正小标宋简体" w:hAnsi="方正小标宋简体" w:eastAsia="方正小标宋简体" w:cs="方正小标宋简体"/>
          <w:spacing w:val="-19"/>
          <w:sz w:val="44"/>
          <w:szCs w:val="44"/>
        </w:rPr>
        <w:t>的函</w:t>
      </w:r>
    </w:p>
    <w:p>
      <w:pPr>
        <w:spacing w:line="560" w:lineRule="exact"/>
        <w:rPr>
          <w:rFonts w:eastAsia="仿宋"/>
          <w:sz w:val="32"/>
          <w:szCs w:val="32"/>
        </w:rPr>
      </w:pPr>
    </w:p>
    <w:p>
      <w:pPr>
        <w:snapToGrid w:val="0"/>
        <w:spacing w:line="560" w:lineRule="exact"/>
        <w:rPr>
          <w:rFonts w:eastAsia="仿宋_GB2312"/>
          <w:sz w:val="32"/>
          <w:szCs w:val="32"/>
        </w:rPr>
      </w:pPr>
      <w:r>
        <w:rPr>
          <w:rFonts w:eastAsia="仿宋_GB2312"/>
          <w:sz w:val="32"/>
          <w:szCs w:val="32"/>
        </w:rPr>
        <w:t>自贸试验区西安、杨凌示范区、西咸新区管委会：</w:t>
      </w:r>
    </w:p>
    <w:p>
      <w:pPr>
        <w:snapToGrid w:val="0"/>
        <w:spacing w:line="560" w:lineRule="exact"/>
        <w:ind w:firstLine="640" w:firstLineChars="200"/>
        <w:rPr>
          <w:rFonts w:eastAsia="仿宋_GB2312"/>
          <w:sz w:val="32"/>
          <w:szCs w:val="32"/>
        </w:rPr>
      </w:pPr>
      <w:r>
        <w:rPr>
          <w:rFonts w:eastAsia="仿宋_GB2312"/>
          <w:sz w:val="32"/>
          <w:szCs w:val="32"/>
        </w:rPr>
        <w:t>建设自由贸易试验区是党中央、国务院在新形势下全面深化改革和扩大开放的一项战略举措。省级各有关部门和自贸试验区各管委会、功能区高度重视，积极探索、勇于创新，推动形成了一批制度创新性强、市场主体</w:t>
      </w:r>
      <w:r>
        <w:rPr>
          <w:rFonts w:hint="eastAsia" w:eastAsia="仿宋_GB2312"/>
          <w:sz w:val="32"/>
          <w:szCs w:val="32"/>
          <w:lang w:eastAsia="zh-CN"/>
        </w:rPr>
        <w:t>反映</w:t>
      </w:r>
      <w:r>
        <w:rPr>
          <w:rFonts w:eastAsia="仿宋_GB2312"/>
          <w:sz w:val="32"/>
          <w:szCs w:val="32"/>
        </w:rPr>
        <w:t>好的案例。省自贸办委托西安交大自贸研究院组织专家对案例进行评选，根据评选结果，我们选取成效较为突出的16个案例，编撰形成中国（陕西）自由贸易试验区新一批“最佳实践案例”，现予以印发，供各单位在深化改革、扩大开放过程中学习借鉴。</w:t>
      </w:r>
    </w:p>
    <w:p>
      <w:pPr>
        <w:snapToGrid w:val="0"/>
        <w:spacing w:line="560" w:lineRule="exact"/>
        <w:ind w:firstLine="200"/>
        <w:rPr>
          <w:rFonts w:eastAsia="仿宋"/>
          <w:sz w:val="32"/>
          <w:szCs w:val="32"/>
        </w:rPr>
      </w:pPr>
    </w:p>
    <w:p>
      <w:pPr>
        <w:snapToGrid w:val="0"/>
        <w:spacing w:line="560" w:lineRule="exact"/>
        <w:ind w:firstLine="640" w:firstLineChars="200"/>
        <w:rPr>
          <w:rFonts w:hint="eastAsia" w:eastAsia="仿宋_GB2312"/>
          <w:sz w:val="32"/>
          <w:szCs w:val="32"/>
        </w:rPr>
      </w:pPr>
      <w:r>
        <w:rPr>
          <w:rFonts w:eastAsia="仿宋_GB2312"/>
          <w:sz w:val="32"/>
          <w:szCs w:val="32"/>
        </w:rPr>
        <w:t>联系人：孙嘉晨</w:t>
      </w:r>
      <w:r>
        <w:rPr>
          <w:rFonts w:hint="eastAsia" w:eastAsia="仿宋_GB2312"/>
          <w:sz w:val="32"/>
          <w:szCs w:val="32"/>
        </w:rPr>
        <w:t xml:space="preserve">  </w:t>
      </w:r>
      <w:r>
        <w:rPr>
          <w:rFonts w:eastAsia="仿宋_GB2312"/>
          <w:sz w:val="32"/>
          <w:szCs w:val="32"/>
        </w:rPr>
        <w:t>联系电话：87380613</w:t>
      </w:r>
      <w:r>
        <w:rPr>
          <w:rFonts w:hint="eastAsia" w:eastAsia="仿宋_GB2312"/>
          <w:sz w:val="32"/>
          <w:szCs w:val="32"/>
        </w:rPr>
        <w:t xml:space="preserve"> </w:t>
      </w:r>
      <w:r>
        <w:rPr>
          <w:rFonts w:eastAsia="仿宋_GB2312"/>
          <w:sz w:val="32"/>
          <w:szCs w:val="32"/>
        </w:rPr>
        <w:t xml:space="preserve"> 传真：89629398</w:t>
      </w:r>
    </w:p>
    <w:p>
      <w:pPr>
        <w:snapToGrid w:val="0"/>
        <w:spacing w:line="560" w:lineRule="exact"/>
        <w:ind w:firstLine="1872" w:firstLineChars="900"/>
        <w:rPr>
          <w:rFonts w:hint="eastAsia" w:eastAsia="仿宋_GB2312"/>
          <w:sz w:val="32"/>
          <w:szCs w:val="32"/>
        </w:rPr>
      </w:pPr>
      <w:r>
        <w:rPr>
          <w:rFonts w:hint="eastAsia" w:ascii="仿宋_GB2312" w:eastAsia="仿宋_GB2312"/>
          <w:color w:val="000000"/>
          <w:spacing w:val="-1"/>
        </w:rPr>
        <w:drawing>
          <wp:anchor distT="0" distB="0" distL="114300" distR="114300" simplePos="0" relativeHeight="251661312" behindDoc="1" locked="0" layoutInCell="1" allowOverlap="1">
            <wp:simplePos x="0" y="0"/>
            <wp:positionH relativeFrom="column">
              <wp:posOffset>2902585</wp:posOffset>
            </wp:positionH>
            <wp:positionV relativeFrom="paragraph">
              <wp:posOffset>290195</wp:posOffset>
            </wp:positionV>
            <wp:extent cx="1654810" cy="1621790"/>
            <wp:effectExtent l="0" t="0" r="6350" b="8890"/>
            <wp:wrapNone/>
            <wp:docPr id="1" name="图片 10" descr="自贸区章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 descr="自贸区章子"/>
                    <pic:cNvPicPr>
                      <a:picLocks noChangeAspect="1"/>
                    </pic:cNvPicPr>
                  </pic:nvPicPr>
                  <pic:blipFill>
                    <a:blip r:embed="rId9"/>
                    <a:stretch>
                      <a:fillRect/>
                    </a:stretch>
                  </pic:blipFill>
                  <pic:spPr>
                    <a:xfrm>
                      <a:off x="0" y="0"/>
                      <a:ext cx="1654810" cy="1621790"/>
                    </a:xfrm>
                    <a:prstGeom prst="rect">
                      <a:avLst/>
                    </a:prstGeom>
                    <a:noFill/>
                    <a:ln>
                      <a:noFill/>
                    </a:ln>
                  </pic:spPr>
                </pic:pic>
              </a:graphicData>
            </a:graphic>
          </wp:anchor>
        </w:drawing>
      </w:r>
    </w:p>
    <w:p>
      <w:pPr>
        <w:snapToGrid w:val="0"/>
        <w:spacing w:line="560" w:lineRule="exact"/>
        <w:ind w:firstLine="2880" w:firstLineChars="900"/>
        <w:rPr>
          <w:rFonts w:hint="eastAsia" w:eastAsia="仿宋_GB2312"/>
          <w:sz w:val="32"/>
          <w:szCs w:val="32"/>
        </w:rPr>
      </w:pPr>
    </w:p>
    <w:p>
      <w:pPr>
        <w:snapToGrid w:val="0"/>
        <w:spacing w:line="566" w:lineRule="exact"/>
        <w:ind w:firstLine="3200" w:firstLineChars="1000"/>
        <w:rPr>
          <w:rFonts w:eastAsia="仿宋_GB2312"/>
          <w:sz w:val="32"/>
          <w:szCs w:val="32"/>
        </w:rPr>
      </w:pPr>
      <w:r>
        <w:rPr>
          <w:rFonts w:eastAsia="仿宋_GB2312"/>
          <w:sz w:val="32"/>
          <w:szCs w:val="32"/>
        </w:rPr>
        <w:t>中国（陕西）自由贸易试验区工作</w:t>
      </w:r>
    </w:p>
    <w:p>
      <w:pPr>
        <w:snapToGrid w:val="0"/>
        <w:spacing w:line="566" w:lineRule="exact"/>
        <w:ind w:firstLine="4000" w:firstLineChars="1250"/>
        <w:rPr>
          <w:rFonts w:eastAsia="仿宋_GB2312"/>
          <w:sz w:val="32"/>
          <w:szCs w:val="32"/>
        </w:rPr>
      </w:pPr>
      <w:r>
        <w:rPr>
          <w:rFonts w:eastAsia="仿宋_GB2312"/>
          <w:sz w:val="32"/>
          <w:szCs w:val="32"/>
        </w:rPr>
        <w:t>领导小组办公室（代章）</w:t>
      </w:r>
    </w:p>
    <w:p>
      <w:pPr>
        <w:snapToGrid w:val="0"/>
        <w:spacing w:line="566" w:lineRule="exact"/>
        <w:ind w:firstLine="640" w:firstLineChars="200"/>
        <w:rPr>
          <w:rFonts w:eastAsia="仿宋_GB2312"/>
          <w:sz w:val="32"/>
          <w:szCs w:val="32"/>
        </w:rPr>
      </w:pPr>
      <w:r>
        <w:rPr>
          <w:rFonts w:eastAsia="仿宋_GB2312"/>
          <w:sz w:val="32"/>
          <w:szCs w:val="32"/>
        </w:rPr>
        <w:t xml:space="preserve">                     </w:t>
      </w:r>
      <w:r>
        <w:rPr>
          <w:rFonts w:hint="eastAsia" w:eastAsia="仿宋_GB2312"/>
          <w:sz w:val="32"/>
          <w:szCs w:val="32"/>
        </w:rPr>
        <w:t xml:space="preserve"> </w:t>
      </w:r>
      <w:r>
        <w:rPr>
          <w:rFonts w:eastAsia="仿宋_GB2312"/>
          <w:sz w:val="32"/>
          <w:szCs w:val="32"/>
        </w:rPr>
        <w:t xml:space="preserve"> 2019年11月29日</w:t>
      </w:r>
    </w:p>
    <w:p>
      <w:pPr>
        <w:snapToGrid w:val="0"/>
        <w:spacing w:line="594" w:lineRule="exact"/>
        <w:jc w:val="center"/>
        <w:rPr>
          <w:rFonts w:hint="eastAsia" w:eastAsia="方正小标宋简体"/>
          <w:sz w:val="44"/>
          <w:szCs w:val="44"/>
        </w:rPr>
        <w:sectPr>
          <w:footerReference r:id="rId5" w:type="first"/>
          <w:footerReference r:id="rId3" w:type="default"/>
          <w:footerReference r:id="rId4" w:type="even"/>
          <w:pgSz w:w="11906" w:h="16838"/>
          <w:pgMar w:top="1985" w:right="1701" w:bottom="1701" w:left="1701" w:header="851" w:footer="1304" w:gutter="0"/>
          <w:pgNumType w:fmt="numberInDash"/>
          <w:cols w:space="720" w:num="1"/>
          <w:titlePg/>
          <w:docGrid w:type="linesAndChars" w:linePitch="317" w:charSpace="0"/>
        </w:sectPr>
      </w:pPr>
    </w:p>
    <w:p>
      <w:pPr>
        <w:spacing w:line="594" w:lineRule="exact"/>
        <w:rPr>
          <w:rFonts w:eastAsia="黑体"/>
          <w:sz w:val="32"/>
          <w:szCs w:val="32"/>
        </w:rPr>
      </w:pPr>
      <w:r>
        <w:rPr>
          <w:rFonts w:hint="eastAsia" w:ascii="黑体" w:hAnsi="黑体" w:eastAsia="黑体" w:cs="黑体"/>
          <w:sz w:val="32"/>
          <w:szCs w:val="32"/>
        </w:rPr>
        <w:t>案例1</w:t>
      </w:r>
    </w:p>
    <w:p>
      <w:pPr>
        <w:spacing w:line="594" w:lineRule="exact"/>
      </w:pPr>
    </w:p>
    <w:p>
      <w:pPr>
        <w:spacing w:line="594" w:lineRule="exact"/>
        <w:jc w:val="center"/>
        <w:outlineLvl w:val="1"/>
        <w:rPr>
          <w:rFonts w:eastAsia="方正小标宋_GBK"/>
          <w:color w:val="000000"/>
          <w:sz w:val="44"/>
          <w:szCs w:val="44"/>
          <w:shd w:val="clear" w:color="auto" w:fill="FFFFFF"/>
        </w:rPr>
      </w:pPr>
      <w:r>
        <w:rPr>
          <w:rFonts w:hint="eastAsia" w:ascii="方正小标宋简体" w:hAnsi="方正小标宋简体" w:eastAsia="方正小标宋简体" w:cs="方正小标宋简体"/>
          <w:sz w:val="44"/>
          <w:szCs w:val="44"/>
        </w:rPr>
        <w:t>“全城通办”政务服务</w:t>
      </w:r>
    </w:p>
    <w:p>
      <w:pPr>
        <w:spacing w:line="594" w:lineRule="exact"/>
        <w:jc w:val="center"/>
        <w:rPr>
          <w:rFonts w:eastAsia="仿宋_GB2312"/>
          <w:color w:val="000000"/>
          <w:sz w:val="32"/>
          <w:szCs w:val="32"/>
          <w:shd w:val="clear" w:color="auto" w:fill="FFFFFF"/>
        </w:rPr>
      </w:pPr>
      <w:r>
        <w:rPr>
          <w:rFonts w:eastAsia="楷体_GB2312"/>
          <w:sz w:val="32"/>
          <w:szCs w:val="32"/>
        </w:rPr>
        <w:t>（自贸试验区西安国际港务区功能区提供）</w:t>
      </w:r>
    </w:p>
    <w:p>
      <w:pPr>
        <w:adjustRightInd w:val="0"/>
        <w:snapToGrid w:val="0"/>
        <w:spacing w:line="560" w:lineRule="exact"/>
        <w:rPr>
          <w:rFonts w:hint="eastAsia" w:ascii="仿宋_GB2312" w:hAnsi="仿宋_GB2312" w:eastAsia="仿宋_GB2312" w:cs="仿宋_GB2312"/>
          <w:sz w:val="32"/>
          <w:szCs w:val="32"/>
        </w:rPr>
      </w:pPr>
    </w:p>
    <w:p>
      <w:pPr>
        <w:adjustRightInd w:val="0"/>
        <w:snapToGrid w:val="0"/>
        <w:spacing w:line="560" w:lineRule="exact"/>
        <w:ind w:firstLine="640" w:firstLineChars="200"/>
        <w:rPr>
          <w:rFonts w:eastAsia="仿宋_GB2312"/>
          <w:sz w:val="32"/>
          <w:szCs w:val="32"/>
        </w:rPr>
      </w:pPr>
      <w:r>
        <w:rPr>
          <w:rFonts w:eastAsia="仿宋_GB2312"/>
          <w:sz w:val="32"/>
          <w:szCs w:val="32"/>
        </w:rPr>
        <w:t>为全面提高政务服务效率，国际港务区</w:t>
      </w:r>
      <w:r>
        <w:rPr>
          <w:rFonts w:hint="eastAsia" w:eastAsia="仿宋_GB2312"/>
          <w:sz w:val="32"/>
          <w:szCs w:val="32"/>
        </w:rPr>
        <w:t>功能区</w:t>
      </w:r>
      <w:r>
        <w:rPr>
          <w:rFonts w:eastAsia="仿宋_GB2312"/>
          <w:sz w:val="32"/>
          <w:szCs w:val="32"/>
        </w:rPr>
        <w:t>借助物联网技术和邮政速递易、EMS揽件等平台，在全国首创“全城通办”政务服务新模式，实现政务办理7×24小时随时办和全程审批不见面。</w:t>
      </w:r>
    </w:p>
    <w:p>
      <w:pPr>
        <w:adjustRightInd w:val="0"/>
        <w:snapToGrid w:val="0"/>
        <w:spacing w:line="560" w:lineRule="exact"/>
        <w:ind w:firstLine="640" w:firstLineChars="200"/>
        <w:rPr>
          <w:rFonts w:eastAsia="黑体"/>
          <w:sz w:val="32"/>
          <w:szCs w:val="32"/>
        </w:rPr>
      </w:pPr>
      <w:r>
        <w:rPr>
          <w:rFonts w:eastAsia="黑体"/>
          <w:sz w:val="32"/>
          <w:szCs w:val="32"/>
        </w:rPr>
        <w:t>一、主要做法</w:t>
      </w:r>
    </w:p>
    <w:p>
      <w:pPr>
        <w:adjustRightInd w:val="0"/>
        <w:snapToGrid w:val="0"/>
        <w:spacing w:line="560" w:lineRule="exact"/>
        <w:ind w:firstLine="640" w:firstLineChars="200"/>
        <w:rPr>
          <w:rFonts w:eastAsia="仿宋_GB2312"/>
          <w:sz w:val="32"/>
          <w:szCs w:val="32"/>
        </w:rPr>
      </w:pPr>
      <w:r>
        <w:rPr>
          <w:rFonts w:eastAsia="仿宋_GB2312"/>
          <w:sz w:val="32"/>
          <w:szCs w:val="32"/>
          <w:lang w:val="en-GB"/>
        </w:rPr>
        <w:t>将</w:t>
      </w:r>
      <w:r>
        <w:rPr>
          <w:rFonts w:eastAsia="仿宋_GB2312"/>
          <w:sz w:val="32"/>
          <w:szCs w:val="32"/>
        </w:rPr>
        <w:t>政务服务网与中国邮政速递易、EMS揽件等平台实现数据对接，利用中邮速递易箱柜服务点，为企业和群众提供邮寄交件、自助取件、邮寄送达等多种服务。</w:t>
      </w:r>
    </w:p>
    <w:p>
      <w:pPr>
        <w:adjustRightInd w:val="0"/>
        <w:snapToGrid w:val="0"/>
        <w:spacing w:line="560" w:lineRule="exact"/>
        <w:ind w:firstLine="640" w:firstLineChars="200"/>
        <w:rPr>
          <w:rFonts w:eastAsia="仿宋_GB2312"/>
          <w:sz w:val="32"/>
          <w:szCs w:val="32"/>
        </w:rPr>
      </w:pPr>
      <w:r>
        <w:rPr>
          <w:rFonts w:eastAsia="仿宋_GB2312"/>
          <w:sz w:val="32"/>
          <w:szCs w:val="32"/>
        </w:rPr>
        <w:t>办事人员办理业务时，首先在政务服务网提交审批资料进行预审，后台审批人员预审通过后，办事人员登录个人中心选择交件方式：速递易就近交件、政务服务中心窗口交件、EMS邮寄交件。若选择速递易就近交件，系统就会自动搜索周围5公里范围内的中邮速递易箱柜供选择，办事人员选择后系统会短信发送开箱码，办事人员凭开箱码到选择的速递易箱柜交件即可。办事人员交件后，系统即推送取件码、邮寄地址、姓名等信息给EMS派揽系统及PDA终端，EMS人员根据信息到速递易箱柜揽件，取件后进行派单。在业务办理完成后，办事人员同样会收到相应的短信通知，可自主选择速递易就近取件、政务服务中心窗口取件和EMS邮寄取件。</w:t>
      </w:r>
    </w:p>
    <w:p>
      <w:pPr>
        <w:adjustRightInd w:val="0"/>
        <w:snapToGrid w:val="0"/>
        <w:spacing w:line="560" w:lineRule="exact"/>
        <w:ind w:firstLine="640" w:firstLineChars="200"/>
        <w:rPr>
          <w:rFonts w:eastAsia="仿宋_GB2312"/>
          <w:sz w:val="32"/>
          <w:szCs w:val="32"/>
        </w:rPr>
      </w:pPr>
      <w:r>
        <w:rPr>
          <w:rFonts w:eastAsia="仿宋_GB2312"/>
          <w:sz w:val="32"/>
          <w:szCs w:val="32"/>
        </w:rPr>
        <w:t>据统计，在涉及本级政务服务的348个（320个行政审批事项，28个公共服务事项）事项中，除1项（户外广告）不支持网上预审外，其余347个全部支持速递易箱柜交件和取件。</w:t>
      </w:r>
    </w:p>
    <w:p>
      <w:pPr>
        <w:adjustRightInd w:val="0"/>
        <w:snapToGrid w:val="0"/>
        <w:spacing w:line="560" w:lineRule="exact"/>
        <w:ind w:firstLine="640" w:firstLineChars="200"/>
        <w:rPr>
          <w:rFonts w:eastAsia="黑体"/>
          <w:sz w:val="32"/>
          <w:szCs w:val="32"/>
        </w:rPr>
      </w:pPr>
      <w:r>
        <w:rPr>
          <w:rFonts w:eastAsia="黑体"/>
          <w:sz w:val="32"/>
          <w:szCs w:val="32"/>
        </w:rPr>
        <w:t>二、实践效果</w:t>
      </w:r>
    </w:p>
    <w:p>
      <w:pPr>
        <w:adjustRightInd w:val="0"/>
        <w:snapToGrid w:val="0"/>
        <w:spacing w:line="560" w:lineRule="exact"/>
        <w:ind w:firstLine="640" w:firstLineChars="200"/>
        <w:rPr>
          <w:rFonts w:eastAsia="仿宋_GB2312"/>
          <w:sz w:val="32"/>
          <w:szCs w:val="32"/>
        </w:rPr>
      </w:pPr>
      <w:r>
        <w:rPr>
          <w:rFonts w:eastAsia="仿宋_GB2312"/>
          <w:sz w:val="32"/>
          <w:szCs w:val="32"/>
        </w:rPr>
        <w:t>“全城通办”模式实施以来，已经实现自助交件、自助取件7000余件，受到了办事群众一致好评。</w:t>
      </w:r>
    </w:p>
    <w:p>
      <w:pPr>
        <w:adjustRightInd w:val="0"/>
        <w:snapToGrid w:val="0"/>
        <w:spacing w:line="560" w:lineRule="exact"/>
        <w:ind w:firstLine="643" w:firstLineChars="200"/>
        <w:rPr>
          <w:rFonts w:eastAsia="仿宋_GB2312"/>
          <w:sz w:val="32"/>
          <w:szCs w:val="32"/>
        </w:rPr>
      </w:pPr>
      <w:r>
        <w:rPr>
          <w:rFonts w:eastAsia="仿宋_GB2312"/>
          <w:b/>
          <w:bCs/>
          <w:sz w:val="32"/>
          <w:szCs w:val="32"/>
        </w:rPr>
        <w:t>（一）“全城通办”模式</w:t>
      </w:r>
      <w:r>
        <w:rPr>
          <w:rFonts w:eastAsia="仿宋_GB2312"/>
          <w:sz w:val="32"/>
          <w:szCs w:val="32"/>
        </w:rPr>
        <w:t>实现了在全市区域办国际港务区事项均可就近“自助交件、自助取件”，将政务服务延伸至全市住宅小区，让群众在家门口即可享受便捷的政务服务。</w:t>
      </w:r>
    </w:p>
    <w:p>
      <w:pPr>
        <w:adjustRightInd w:val="0"/>
        <w:snapToGrid w:val="0"/>
        <w:spacing w:line="560" w:lineRule="exact"/>
        <w:ind w:firstLine="643" w:firstLineChars="200"/>
        <w:rPr>
          <w:rFonts w:eastAsia="仿宋_GB2312"/>
          <w:sz w:val="32"/>
          <w:szCs w:val="32"/>
        </w:rPr>
      </w:pPr>
      <w:r>
        <w:rPr>
          <w:rFonts w:eastAsia="仿宋_GB2312"/>
          <w:b/>
          <w:bCs/>
          <w:sz w:val="32"/>
          <w:szCs w:val="32"/>
        </w:rPr>
        <w:t>（二）“全城通办”模式</w:t>
      </w:r>
      <w:r>
        <w:rPr>
          <w:rFonts w:eastAsia="仿宋_GB2312"/>
          <w:sz w:val="32"/>
          <w:szCs w:val="32"/>
        </w:rPr>
        <w:t>将政务服务由传统的5×8小时延伸至7×24小时，极大方便了群众办事。</w:t>
      </w:r>
    </w:p>
    <w:p>
      <w:pPr>
        <w:adjustRightInd w:val="0"/>
        <w:snapToGrid w:val="0"/>
        <w:spacing w:line="560" w:lineRule="exact"/>
        <w:ind w:firstLine="643" w:firstLineChars="200"/>
        <w:rPr>
          <w:rFonts w:eastAsia="仿宋_GB2312"/>
          <w:sz w:val="32"/>
          <w:szCs w:val="32"/>
        </w:rPr>
      </w:pPr>
      <w:r>
        <w:rPr>
          <w:rFonts w:eastAsia="仿宋_GB2312"/>
          <w:b/>
          <w:bCs/>
          <w:sz w:val="32"/>
          <w:szCs w:val="32"/>
        </w:rPr>
        <w:t>（三）“全城通办”模式</w:t>
      </w:r>
      <w:r>
        <w:rPr>
          <w:rFonts w:eastAsia="仿宋_GB2312"/>
          <w:sz w:val="32"/>
          <w:szCs w:val="32"/>
        </w:rPr>
        <w:t>无需投入任何硬件设备和维护费用。仅目前国际港务区</w:t>
      </w:r>
      <w:r>
        <w:rPr>
          <w:rFonts w:hint="eastAsia" w:eastAsia="仿宋_GB2312"/>
          <w:sz w:val="32"/>
          <w:szCs w:val="32"/>
        </w:rPr>
        <w:t>功能区</w:t>
      </w:r>
      <w:r>
        <w:rPr>
          <w:rFonts w:eastAsia="仿宋_GB2312"/>
          <w:sz w:val="32"/>
          <w:szCs w:val="32"/>
        </w:rPr>
        <w:t>在全市范围内启用的1354个中国邮政速递易箱柜，就节省费用近2000余万元。</w:t>
      </w:r>
    </w:p>
    <w:p>
      <w:pPr>
        <w:adjustRightInd w:val="0"/>
        <w:snapToGrid w:val="0"/>
        <w:spacing w:line="560" w:lineRule="exact"/>
        <w:ind w:firstLine="640" w:firstLineChars="200"/>
        <w:rPr>
          <w:rFonts w:eastAsia="仿宋_GB2312"/>
          <w:sz w:val="32"/>
          <w:szCs w:val="32"/>
        </w:rPr>
      </w:pPr>
      <w:r>
        <w:rPr>
          <w:rFonts w:eastAsia="黑体"/>
          <w:sz w:val="32"/>
          <w:szCs w:val="32"/>
        </w:rPr>
        <w:t>三、下一步工作思路</w:t>
      </w:r>
    </w:p>
    <w:p>
      <w:pPr>
        <w:adjustRightInd w:val="0"/>
        <w:snapToGrid w:val="0"/>
        <w:spacing w:line="560" w:lineRule="exact"/>
        <w:ind w:firstLine="640" w:firstLineChars="200"/>
        <w:rPr>
          <w:rFonts w:eastAsia="仿宋_GB2312"/>
          <w:sz w:val="32"/>
          <w:szCs w:val="32"/>
        </w:rPr>
      </w:pPr>
      <w:r>
        <w:rPr>
          <w:rFonts w:eastAsia="仿宋_GB2312"/>
          <w:sz w:val="32"/>
          <w:szCs w:val="32"/>
        </w:rPr>
        <w:t>下一步，国际港务区</w:t>
      </w:r>
      <w:r>
        <w:rPr>
          <w:rFonts w:hint="eastAsia" w:eastAsia="仿宋_GB2312"/>
          <w:sz w:val="32"/>
          <w:szCs w:val="32"/>
        </w:rPr>
        <w:t>功能区</w:t>
      </w:r>
      <w:r>
        <w:rPr>
          <w:rFonts w:eastAsia="仿宋_GB2312"/>
          <w:sz w:val="32"/>
          <w:szCs w:val="32"/>
        </w:rPr>
        <w:t>将依托“互联网+政务平台”，持续推出数据共享、信息跑路、足不出户的政务服务新模式，将政务服务延伸到区内各便民服务点，将政务服务送到企业，送到群众“家门口”，打通为企业和群众服务的“最后一公里”。</w:t>
      </w:r>
    </w:p>
    <w:p>
      <w:pPr>
        <w:spacing w:line="594" w:lineRule="exact"/>
        <w:ind w:firstLine="643"/>
        <w:outlineLvl w:val="1"/>
        <w:rPr>
          <w:rFonts w:eastAsia="仿宋_GB2312"/>
          <w:color w:val="000000"/>
          <w:sz w:val="32"/>
          <w:szCs w:val="32"/>
          <w:shd w:val="clear" w:color="auto" w:fill="FFFFFF"/>
        </w:rPr>
      </w:pPr>
    </w:p>
    <w:p>
      <w:pPr>
        <w:spacing w:line="594" w:lineRule="exact"/>
        <w:rPr>
          <w:rFonts w:eastAsia="黑体"/>
          <w:sz w:val="32"/>
          <w:szCs w:val="32"/>
        </w:rPr>
      </w:pPr>
      <w:r>
        <w:rPr>
          <w:rFonts w:eastAsia="黑体"/>
          <w:kern w:val="0"/>
          <w:sz w:val="32"/>
          <w:szCs w:val="32"/>
        </w:rPr>
        <w:br w:type="page"/>
      </w:r>
      <w:r>
        <w:rPr>
          <w:rFonts w:hint="eastAsia" w:ascii="黑体" w:hAnsi="黑体" w:eastAsia="黑体" w:cs="黑体"/>
          <w:sz w:val="32"/>
          <w:szCs w:val="32"/>
        </w:rPr>
        <w:t>案例2</w:t>
      </w:r>
    </w:p>
    <w:p>
      <w:pPr>
        <w:spacing w:line="594" w:lineRule="exact"/>
        <w:jc w:val="center"/>
        <w:outlineLvl w:val="0"/>
        <w:rPr>
          <w:rFonts w:eastAsia="方正小标宋简体"/>
          <w:kern w:val="0"/>
          <w:sz w:val="44"/>
          <w:szCs w:val="44"/>
        </w:rPr>
      </w:pPr>
      <w:bookmarkStart w:id="0" w:name="西安咸阳国际机场开创协同运行新模式"/>
    </w:p>
    <w:p>
      <w:pPr>
        <w:spacing w:line="594" w:lineRule="exact"/>
        <w:jc w:val="center"/>
        <w:outlineLvl w:val="1"/>
        <w:rPr>
          <w:rFonts w:hint="eastAsia" w:ascii="方正小标宋简体" w:hAnsi="方正小标宋简体" w:eastAsia="方正小标宋简体" w:cs="方正小标宋简体"/>
          <w:color w:val="000000"/>
          <w:sz w:val="44"/>
          <w:szCs w:val="44"/>
          <w:shd w:val="clear" w:color="auto" w:fill="FFFFFF"/>
        </w:rPr>
      </w:pPr>
      <w:r>
        <w:rPr>
          <w:rFonts w:hint="eastAsia" w:ascii="方正小标宋简体" w:hAnsi="方正小标宋简体" w:eastAsia="方正小标宋简体" w:cs="方正小标宋简体"/>
          <w:color w:val="000000"/>
          <w:sz w:val="44"/>
          <w:szCs w:val="44"/>
          <w:shd w:val="clear" w:color="auto" w:fill="FFFFFF"/>
        </w:rPr>
        <w:fldChar w:fldCharType="begin"/>
      </w:r>
      <w:r>
        <w:rPr>
          <w:rFonts w:hint="eastAsia" w:ascii="方正小标宋简体" w:hAnsi="方正小标宋简体" w:eastAsia="方正小标宋简体" w:cs="方正小标宋简体"/>
          <w:color w:val="000000"/>
          <w:sz w:val="44"/>
          <w:szCs w:val="44"/>
          <w:shd w:val="clear" w:color="auto" w:fill="FFFFFF"/>
        </w:rPr>
        <w:instrText xml:space="preserve"> HYPERLINK \l "目录" </w:instrText>
      </w:r>
      <w:r>
        <w:rPr>
          <w:rFonts w:hint="eastAsia" w:ascii="方正小标宋简体" w:hAnsi="方正小标宋简体" w:eastAsia="方正小标宋简体" w:cs="方正小标宋简体"/>
          <w:color w:val="000000"/>
          <w:sz w:val="44"/>
          <w:szCs w:val="44"/>
          <w:shd w:val="clear" w:color="auto" w:fill="FFFFFF"/>
        </w:rPr>
        <w:fldChar w:fldCharType="separate"/>
      </w:r>
      <w:r>
        <w:rPr>
          <w:rFonts w:hint="eastAsia" w:ascii="方正小标宋简体" w:hAnsi="方正小标宋简体" w:eastAsia="方正小标宋简体" w:cs="方正小标宋简体"/>
          <w:color w:val="000000"/>
          <w:sz w:val="44"/>
          <w:szCs w:val="44"/>
          <w:shd w:val="clear" w:color="auto" w:fill="FFFFFF"/>
        </w:rPr>
        <w:t>机场协同运行新模式</w:t>
      </w:r>
      <w:r>
        <w:rPr>
          <w:rFonts w:hint="eastAsia" w:ascii="方正小标宋简体" w:hAnsi="方正小标宋简体" w:eastAsia="方正小标宋简体" w:cs="方正小标宋简体"/>
          <w:color w:val="000000"/>
          <w:sz w:val="44"/>
          <w:szCs w:val="44"/>
          <w:shd w:val="clear" w:color="auto" w:fill="FFFFFF"/>
        </w:rPr>
        <w:fldChar w:fldCharType="end"/>
      </w:r>
      <w:bookmarkEnd w:id="0"/>
    </w:p>
    <w:p>
      <w:pPr>
        <w:spacing w:line="594" w:lineRule="exact"/>
        <w:jc w:val="center"/>
        <w:rPr>
          <w:rFonts w:eastAsia="楷体_GB2312"/>
          <w:sz w:val="32"/>
          <w:szCs w:val="32"/>
        </w:rPr>
      </w:pPr>
      <w:r>
        <w:rPr>
          <w:rFonts w:eastAsia="楷体_GB2312"/>
          <w:sz w:val="32"/>
          <w:szCs w:val="32"/>
        </w:rPr>
        <w:t>（自贸试验区西咸新区空港新城功能区提供）</w:t>
      </w:r>
    </w:p>
    <w:p>
      <w:pPr>
        <w:adjustRightInd w:val="0"/>
        <w:snapToGrid w:val="0"/>
        <w:spacing w:line="594" w:lineRule="exact"/>
        <w:jc w:val="center"/>
        <w:outlineLvl w:val="0"/>
        <w:rPr>
          <w:rFonts w:eastAsia="方正小标宋简体"/>
          <w:color w:val="000000"/>
          <w:kern w:val="0"/>
          <w:sz w:val="32"/>
          <w:szCs w:val="32"/>
        </w:rPr>
      </w:pPr>
    </w:p>
    <w:p>
      <w:pPr>
        <w:adjustRightInd w:val="0"/>
        <w:snapToGrid w:val="0"/>
        <w:spacing w:line="560" w:lineRule="exact"/>
        <w:ind w:firstLine="640" w:firstLineChars="200"/>
        <w:rPr>
          <w:rFonts w:eastAsia="仿宋_GB2312"/>
          <w:sz w:val="32"/>
          <w:szCs w:val="32"/>
        </w:rPr>
      </w:pPr>
      <w:r>
        <w:rPr>
          <w:rFonts w:eastAsia="仿宋_GB2312"/>
          <w:sz w:val="32"/>
          <w:szCs w:val="32"/>
        </w:rPr>
        <w:t>近年来，随着民航事业的快速发展，运行资源相对紧缺、运行组织各自为政、运行信息交互不畅等深层次矛盾日益凸显。空港新城功能区积极探索创新西安咸阳国际机场运行管理机制，形成“以运管委为组织机构、联合运控中心为运行载体、A-CDM系统为平台支撑”的协同运行体系，实现了从板块式管理向体系式管理的转变，机场整体运行品质得到显著提升，不仅使放行正常率和始发正常率持续保持较高水平，而且还产生了良好的社会经济效益。2018年4月，民航局在西安召开航班正常暨服务质量工作会议，以西安咸阳国际机场为蓝本，下发《大型机场运行协调机制（运管委）建设指南（试行）》，2018年11月9日，民航局局长冯正霖调研机场运管委运行情况时，对西安咸阳国际机场在航班正常工作上所取得的成绩表示肯定，称之为“西安模式”，拟在全国推广。</w:t>
      </w:r>
    </w:p>
    <w:p>
      <w:pPr>
        <w:adjustRightInd w:val="0"/>
        <w:snapToGrid w:val="0"/>
        <w:spacing w:line="560" w:lineRule="exact"/>
        <w:ind w:firstLine="640" w:firstLineChars="200"/>
        <w:rPr>
          <w:rFonts w:eastAsia="黑体"/>
          <w:kern w:val="0"/>
          <w:sz w:val="32"/>
          <w:szCs w:val="32"/>
        </w:rPr>
      </w:pPr>
      <w:r>
        <w:rPr>
          <w:rFonts w:eastAsia="黑体"/>
          <w:kern w:val="0"/>
          <w:sz w:val="32"/>
          <w:szCs w:val="32"/>
        </w:rPr>
        <w:t>一、主要做法</w:t>
      </w:r>
    </w:p>
    <w:p>
      <w:pPr>
        <w:pStyle w:val="17"/>
        <w:adjustRightInd w:val="0"/>
        <w:snapToGrid w:val="0"/>
        <w:spacing w:line="560" w:lineRule="exact"/>
        <w:ind w:firstLine="643"/>
        <w:rPr>
          <w:rFonts w:eastAsia="楷体_GB2312"/>
          <w:b/>
          <w:sz w:val="32"/>
          <w:szCs w:val="32"/>
        </w:rPr>
      </w:pPr>
      <w:r>
        <w:rPr>
          <w:rFonts w:eastAsia="楷体_GB2312"/>
          <w:b/>
          <w:sz w:val="32"/>
          <w:szCs w:val="32"/>
        </w:rPr>
        <w:t>（一）新建管控架构。</w:t>
      </w:r>
    </w:p>
    <w:p>
      <w:pPr>
        <w:pStyle w:val="17"/>
        <w:adjustRightInd w:val="0"/>
        <w:snapToGrid w:val="0"/>
        <w:spacing w:line="560" w:lineRule="exact"/>
        <w:ind w:firstLine="640"/>
        <w:rPr>
          <w:rFonts w:eastAsia="仿宋_GB2312"/>
          <w:sz w:val="32"/>
          <w:szCs w:val="32"/>
        </w:rPr>
      </w:pPr>
      <w:r>
        <w:rPr>
          <w:rFonts w:eastAsia="仿宋_GB2312"/>
          <w:kern w:val="0"/>
          <w:sz w:val="32"/>
          <w:szCs w:val="32"/>
        </w:rPr>
        <w:t>成立机场运管委（由</w:t>
      </w:r>
      <w:r>
        <w:rPr>
          <w:rFonts w:eastAsia="仿宋_GB2312"/>
          <w:sz w:val="32"/>
          <w:szCs w:val="32"/>
        </w:rPr>
        <w:t>民航西北地区管理局监管</w:t>
      </w:r>
      <w:r>
        <w:rPr>
          <w:rFonts w:eastAsia="仿宋_GB2312"/>
          <w:kern w:val="0"/>
          <w:sz w:val="32"/>
          <w:szCs w:val="32"/>
        </w:rPr>
        <w:t>），</w:t>
      </w:r>
      <w:r>
        <w:rPr>
          <w:rFonts w:eastAsia="仿宋_GB2312"/>
          <w:sz w:val="32"/>
          <w:szCs w:val="32"/>
        </w:rPr>
        <w:t>下设决策、协调、组织、实施机构，组成自上而下四级协同管控架构，促进航空运行、机场保障、空管服务和政府监督管理体系的有机融合，使各运行主体在运行链条上的职责更加清晰、衔接更加紧密、信息沟通和运行组织更加高效。</w:t>
      </w:r>
    </w:p>
    <w:p>
      <w:pPr>
        <w:pStyle w:val="17"/>
        <w:adjustRightInd w:val="0"/>
        <w:snapToGrid w:val="0"/>
        <w:spacing w:line="560" w:lineRule="exact"/>
        <w:ind w:firstLine="643"/>
        <w:rPr>
          <w:rFonts w:hint="eastAsia" w:eastAsia="楷体_GB2312"/>
          <w:b/>
          <w:sz w:val="32"/>
          <w:szCs w:val="32"/>
        </w:rPr>
      </w:pPr>
      <w:r>
        <w:rPr>
          <w:rFonts w:hint="eastAsia" w:eastAsia="楷体_GB2312"/>
          <w:b/>
          <w:sz w:val="32"/>
          <w:szCs w:val="32"/>
        </w:rPr>
        <w:t>（二）搭建协同平台。</w:t>
      </w:r>
    </w:p>
    <w:p>
      <w:pPr>
        <w:pStyle w:val="17"/>
        <w:adjustRightInd w:val="0"/>
        <w:snapToGrid w:val="0"/>
        <w:spacing w:line="560" w:lineRule="exact"/>
        <w:ind w:firstLine="640"/>
        <w:rPr>
          <w:rFonts w:eastAsia="仿宋_GB2312"/>
          <w:sz w:val="32"/>
          <w:szCs w:val="32"/>
        </w:rPr>
      </w:pPr>
      <w:r>
        <w:rPr>
          <w:rFonts w:eastAsia="仿宋_GB2312"/>
          <w:sz w:val="32"/>
          <w:szCs w:val="32"/>
        </w:rPr>
        <w:t>大力推进A-CDM系统与各方数据的整合应用，将指挥决策平台扩展为运行指挥调度平台，为运行管理人员、指挥调度人员、现场作业人员提供功能完善的桌面应用和移动终端应用，系统集成各运行主体的航班保障、旅客服务、车辆定位、航空气象等信息，展现保障场景，为空地协同提供了大数据支撑。</w:t>
      </w:r>
    </w:p>
    <w:p>
      <w:pPr>
        <w:pStyle w:val="17"/>
        <w:adjustRightInd w:val="0"/>
        <w:snapToGrid w:val="0"/>
        <w:spacing w:line="560" w:lineRule="exact"/>
        <w:ind w:firstLine="643"/>
        <w:rPr>
          <w:rFonts w:eastAsia="楷体_GB2312"/>
          <w:b/>
          <w:sz w:val="32"/>
          <w:szCs w:val="32"/>
        </w:rPr>
      </w:pPr>
      <w:r>
        <w:rPr>
          <w:rFonts w:hint="eastAsia" w:eastAsia="楷体_GB2312"/>
          <w:b/>
          <w:sz w:val="32"/>
          <w:szCs w:val="32"/>
        </w:rPr>
        <w:t>（三）</w:t>
      </w:r>
      <w:r>
        <w:rPr>
          <w:rFonts w:eastAsia="楷体_GB2312"/>
          <w:b/>
          <w:sz w:val="32"/>
          <w:szCs w:val="32"/>
        </w:rPr>
        <w:t>创新协同机制。</w:t>
      </w:r>
    </w:p>
    <w:p>
      <w:pPr>
        <w:pStyle w:val="17"/>
        <w:adjustRightInd w:val="0"/>
        <w:snapToGrid w:val="0"/>
        <w:spacing w:line="560" w:lineRule="exact"/>
        <w:ind w:firstLine="640"/>
        <w:rPr>
          <w:rFonts w:eastAsia="仿宋_GB2312"/>
          <w:sz w:val="32"/>
          <w:szCs w:val="32"/>
        </w:rPr>
      </w:pPr>
      <w:r>
        <w:rPr>
          <w:rFonts w:eastAsia="仿宋_GB2312"/>
          <w:sz w:val="32"/>
          <w:szCs w:val="32"/>
        </w:rPr>
        <w:t>运管委基于四级管控架构，创立空地协同放行、航班分类处置、关键资源统筹、不利条件运行、地面运行督查、运行评估提升六大协同机制，确保了航班保障和旅客服务的高效顺畅有序。</w:t>
      </w:r>
    </w:p>
    <w:p>
      <w:pPr>
        <w:pStyle w:val="17"/>
        <w:adjustRightInd w:val="0"/>
        <w:snapToGrid w:val="0"/>
        <w:spacing w:line="560" w:lineRule="exact"/>
        <w:ind w:firstLine="643"/>
        <w:rPr>
          <w:rFonts w:eastAsia="楷体_GB2312"/>
          <w:b/>
          <w:sz w:val="32"/>
          <w:szCs w:val="32"/>
        </w:rPr>
      </w:pPr>
      <w:r>
        <w:rPr>
          <w:rFonts w:hint="eastAsia" w:eastAsia="楷体_GB2312"/>
          <w:b/>
          <w:sz w:val="32"/>
          <w:szCs w:val="32"/>
        </w:rPr>
        <w:t>（四）</w:t>
      </w:r>
      <w:r>
        <w:rPr>
          <w:rFonts w:eastAsia="楷体_GB2312"/>
          <w:b/>
          <w:sz w:val="32"/>
          <w:szCs w:val="32"/>
        </w:rPr>
        <w:t>建立绩效体系。</w:t>
      </w:r>
    </w:p>
    <w:p>
      <w:pPr>
        <w:pStyle w:val="17"/>
        <w:adjustRightInd w:val="0"/>
        <w:snapToGrid w:val="0"/>
        <w:spacing w:line="560" w:lineRule="exact"/>
        <w:ind w:firstLine="640"/>
        <w:rPr>
          <w:rFonts w:eastAsia="仿宋_GB2312"/>
          <w:sz w:val="32"/>
          <w:szCs w:val="32"/>
        </w:rPr>
      </w:pPr>
      <w:r>
        <w:rPr>
          <w:rFonts w:eastAsia="仿宋_GB2312"/>
          <w:sz w:val="32"/>
          <w:szCs w:val="32"/>
        </w:rPr>
        <w:t>建立了以指标体系、过程管控、绩效评价、奖惩兑现为主要内容的绩效管理体系，引入权重系数和贡献系数建立绩效模型，综合评价成员单位的运行绩效，根据绩效评价结果，采取绩效通报、绩效约谈、奖励处罚等手段持续提升绩效水平。</w:t>
      </w:r>
    </w:p>
    <w:p>
      <w:pPr>
        <w:adjustRightInd w:val="0"/>
        <w:snapToGrid w:val="0"/>
        <w:spacing w:line="560" w:lineRule="exact"/>
        <w:ind w:firstLine="640" w:firstLineChars="200"/>
        <w:outlineLvl w:val="1"/>
        <w:rPr>
          <w:rFonts w:eastAsia="黑体"/>
          <w:color w:val="000000"/>
          <w:kern w:val="0"/>
          <w:sz w:val="32"/>
          <w:szCs w:val="32"/>
        </w:rPr>
      </w:pPr>
      <w:r>
        <w:rPr>
          <w:rFonts w:eastAsia="黑体"/>
          <w:color w:val="000000"/>
          <w:kern w:val="0"/>
          <w:sz w:val="32"/>
          <w:szCs w:val="32"/>
        </w:rPr>
        <w:t>二、实践效果</w:t>
      </w:r>
    </w:p>
    <w:p>
      <w:pPr>
        <w:adjustRightInd w:val="0"/>
        <w:snapToGrid w:val="0"/>
        <w:spacing w:line="560" w:lineRule="exact"/>
        <w:ind w:firstLine="640"/>
        <w:rPr>
          <w:rFonts w:eastAsia="仿宋_GB2312"/>
          <w:sz w:val="32"/>
          <w:szCs w:val="32"/>
        </w:rPr>
      </w:pPr>
      <w:r>
        <w:rPr>
          <w:rFonts w:eastAsia="仿宋_GB2312"/>
          <w:sz w:val="32"/>
          <w:szCs w:val="32"/>
        </w:rPr>
        <w:t>2018年西安咸阳国际机场共保障放行航班161383架次，其中，运管委协调干预航班12743架次，处置成功9824架次。</w:t>
      </w:r>
    </w:p>
    <w:p>
      <w:pPr>
        <w:numPr>
          <w:ilvl w:val="0"/>
          <w:numId w:val="1"/>
        </w:numPr>
        <w:adjustRightInd w:val="0"/>
        <w:snapToGrid w:val="0"/>
        <w:spacing w:line="560" w:lineRule="exact"/>
        <w:ind w:firstLine="640"/>
        <w:rPr>
          <w:rFonts w:eastAsia="楷体_GB2312"/>
          <w:b/>
          <w:sz w:val="32"/>
          <w:szCs w:val="32"/>
        </w:rPr>
      </w:pPr>
      <w:r>
        <w:rPr>
          <w:rFonts w:eastAsia="楷体_GB2312"/>
          <w:b/>
          <w:sz w:val="32"/>
          <w:szCs w:val="32"/>
        </w:rPr>
        <w:t>航班正常率显著提高。</w:t>
      </w:r>
    </w:p>
    <w:p>
      <w:pPr>
        <w:adjustRightInd w:val="0"/>
        <w:snapToGrid w:val="0"/>
        <w:spacing w:line="560" w:lineRule="exact"/>
        <w:ind w:firstLine="640" w:firstLineChars="200"/>
        <w:rPr>
          <w:rFonts w:eastAsia="仿宋_GB2312"/>
          <w:kern w:val="0"/>
          <w:sz w:val="32"/>
          <w:szCs w:val="32"/>
        </w:rPr>
      </w:pPr>
      <w:r>
        <w:rPr>
          <w:rFonts w:eastAsia="仿宋_GB2312"/>
          <w:kern w:val="0"/>
          <w:sz w:val="32"/>
          <w:szCs w:val="32"/>
        </w:rPr>
        <w:t>西安咸阳国际机场日均起降航班900多架次，飞越航班1700多架次，空域、时刻、机位等资源矛盾日益凸显，曾经有一段时间，每天约有10%的航班不正常在这里成为常态。自运管委成立以来，西安咸阳国际机场放行正常率和始发正常率持续保持在较高水平，地面滑行时间、关舱等待时间和航班延误时间明显缩短。2018年机场放行正常率高于行业平均水平12个百分点；航班正常率居1000万级以上杨机首位；长时间延误航班降低47.11%。</w:t>
      </w:r>
    </w:p>
    <w:p>
      <w:pPr>
        <w:adjustRightInd w:val="0"/>
        <w:snapToGrid w:val="0"/>
        <w:spacing w:line="560" w:lineRule="exact"/>
        <w:ind w:left="640"/>
        <w:rPr>
          <w:rFonts w:eastAsia="楷体_GB2312"/>
          <w:b/>
          <w:sz w:val="32"/>
          <w:szCs w:val="32"/>
        </w:rPr>
      </w:pPr>
      <w:r>
        <w:rPr>
          <w:rFonts w:hint="eastAsia" w:eastAsia="楷体_GB2312"/>
          <w:b/>
          <w:sz w:val="32"/>
          <w:szCs w:val="32"/>
        </w:rPr>
        <w:t>（二）</w:t>
      </w:r>
      <w:r>
        <w:rPr>
          <w:rFonts w:eastAsia="楷体_GB2312"/>
          <w:b/>
          <w:sz w:val="32"/>
          <w:szCs w:val="32"/>
        </w:rPr>
        <w:t>航延处置力大幅提升。</w:t>
      </w:r>
    </w:p>
    <w:p>
      <w:pPr>
        <w:adjustRightInd w:val="0"/>
        <w:snapToGrid w:val="0"/>
        <w:spacing w:line="560" w:lineRule="exact"/>
        <w:ind w:firstLine="640" w:firstLineChars="200"/>
        <w:rPr>
          <w:rFonts w:eastAsia="仿宋_GB2312"/>
          <w:kern w:val="0"/>
          <w:sz w:val="32"/>
          <w:szCs w:val="32"/>
        </w:rPr>
      </w:pPr>
      <w:r>
        <w:rPr>
          <w:rFonts w:eastAsia="仿宋_GB2312"/>
          <w:kern w:val="0"/>
          <w:sz w:val="32"/>
          <w:szCs w:val="32"/>
        </w:rPr>
        <w:t>协同运行从根本上扭转了航延处置的被动局面。比如，2018年1月，西安遭遇9年不遇的极端冰冻天气，面对极有可能出现的航延处置压力，运管委前置预判态势，积极组织协调，统筹配置空地资源，在连续6天的冰雪天气运行中，航班保障态势整体平稳，长时间延误航班得到有效控制，没有航班返航备降，有效避免了旅客大量滞留，从根本上化解了旅客服务工作压力。</w:t>
      </w:r>
    </w:p>
    <w:p>
      <w:pPr>
        <w:adjustRightInd w:val="0"/>
        <w:snapToGrid w:val="0"/>
        <w:spacing w:line="560" w:lineRule="exact"/>
        <w:ind w:left="640"/>
        <w:rPr>
          <w:rFonts w:eastAsia="楷体_GB2312"/>
          <w:b/>
          <w:sz w:val="32"/>
          <w:szCs w:val="32"/>
        </w:rPr>
      </w:pPr>
      <w:r>
        <w:rPr>
          <w:rFonts w:hint="eastAsia" w:eastAsia="楷体_GB2312"/>
          <w:b/>
          <w:sz w:val="32"/>
          <w:szCs w:val="32"/>
        </w:rPr>
        <w:t>（三）</w:t>
      </w:r>
      <w:r>
        <w:rPr>
          <w:rFonts w:eastAsia="楷体_GB2312"/>
          <w:b/>
          <w:sz w:val="32"/>
          <w:szCs w:val="32"/>
        </w:rPr>
        <w:t>经济和社会效益凸显。</w:t>
      </w:r>
    </w:p>
    <w:p>
      <w:pPr>
        <w:adjustRightInd w:val="0"/>
        <w:snapToGrid w:val="0"/>
        <w:spacing w:line="560" w:lineRule="exact"/>
        <w:ind w:firstLine="640" w:firstLineChars="200"/>
        <w:rPr>
          <w:rFonts w:eastAsia="仿宋_GB2312"/>
          <w:kern w:val="0"/>
          <w:sz w:val="32"/>
          <w:szCs w:val="32"/>
        </w:rPr>
      </w:pPr>
      <w:r>
        <w:rPr>
          <w:rFonts w:eastAsia="仿宋_GB2312"/>
          <w:kern w:val="0"/>
          <w:sz w:val="32"/>
          <w:szCs w:val="32"/>
        </w:rPr>
        <w:t>运管委成立以来，不仅航班正常性得到大幅提升，同时也极大促进了绿色机场发展。仅“地面滑行时间缩短”一项，据测算，出港航班平均滑出时间缩短3.5分钟，累计减少碳排放8-9万吨，按照机场4000万量级估算，预计每年可节省燃油成本5000万元左右，进一步降低了燃油成本和碳排放，实现了良好的经济效益和社会效益。</w:t>
      </w:r>
    </w:p>
    <w:p>
      <w:pPr>
        <w:adjustRightInd w:val="0"/>
        <w:snapToGrid w:val="0"/>
        <w:spacing w:line="560" w:lineRule="exact"/>
        <w:ind w:firstLine="640" w:firstLineChars="200"/>
        <w:outlineLvl w:val="1"/>
        <w:rPr>
          <w:rFonts w:eastAsia="黑体"/>
          <w:color w:val="000000"/>
          <w:kern w:val="0"/>
          <w:sz w:val="32"/>
          <w:szCs w:val="32"/>
        </w:rPr>
      </w:pPr>
      <w:r>
        <w:rPr>
          <w:rFonts w:eastAsia="黑体"/>
          <w:color w:val="000000"/>
          <w:kern w:val="0"/>
          <w:sz w:val="32"/>
          <w:szCs w:val="32"/>
        </w:rPr>
        <w:t>三、下一步工作思路</w:t>
      </w:r>
    </w:p>
    <w:p>
      <w:pPr>
        <w:adjustRightInd w:val="0"/>
        <w:snapToGrid w:val="0"/>
        <w:spacing w:line="560" w:lineRule="exact"/>
        <w:ind w:firstLine="640" w:firstLineChars="200"/>
        <w:outlineLvl w:val="1"/>
        <w:rPr>
          <w:rFonts w:eastAsia="仿宋_GB2312"/>
          <w:kern w:val="0"/>
          <w:sz w:val="32"/>
          <w:szCs w:val="32"/>
        </w:rPr>
      </w:pPr>
      <w:r>
        <w:rPr>
          <w:rFonts w:eastAsia="仿宋_GB2312"/>
          <w:kern w:val="0"/>
          <w:sz w:val="32"/>
          <w:szCs w:val="32"/>
        </w:rPr>
        <w:t>下一步，</w:t>
      </w:r>
      <w:r>
        <w:rPr>
          <w:rFonts w:eastAsia="仿宋_GB2312"/>
          <w:sz w:val="32"/>
          <w:szCs w:val="32"/>
        </w:rPr>
        <w:t>空港新城功能区</w:t>
      </w:r>
      <w:r>
        <w:rPr>
          <w:rFonts w:eastAsia="仿宋_GB2312"/>
          <w:kern w:val="0"/>
          <w:sz w:val="32"/>
          <w:szCs w:val="32"/>
        </w:rPr>
        <w:t>将协同西安咸阳国际机场和民航西北地区管理局，继续做强空地协同运行管理平台，完善</w:t>
      </w:r>
      <w:r>
        <w:rPr>
          <w:rFonts w:eastAsia="仿宋_GB2312"/>
          <w:sz w:val="32"/>
          <w:szCs w:val="32"/>
        </w:rPr>
        <w:t>A-CDM</w:t>
      </w:r>
      <w:r>
        <w:rPr>
          <w:rFonts w:eastAsia="仿宋_GB2312"/>
          <w:kern w:val="0"/>
          <w:sz w:val="32"/>
          <w:szCs w:val="32"/>
        </w:rPr>
        <w:t>系统区域覆盖，加快飞行区全场景视频系统建设，为两个塔台以及全场协同运行提供强大的手段支撑。在此基础上切实加强航班地面保障运行监管，不断改进空地协同放行机制，使机场运行流程持续优化。</w:t>
      </w:r>
    </w:p>
    <w:p>
      <w:pPr>
        <w:spacing w:line="560" w:lineRule="exact"/>
        <w:rPr>
          <w:rFonts w:eastAsia="黑体"/>
          <w:sz w:val="32"/>
          <w:szCs w:val="32"/>
        </w:rPr>
      </w:pPr>
    </w:p>
    <w:p>
      <w:pPr>
        <w:spacing w:line="594" w:lineRule="exact"/>
        <w:rPr>
          <w:rFonts w:hint="eastAsia" w:ascii="黑体" w:hAnsi="黑体" w:eastAsia="黑体" w:cs="黑体"/>
          <w:sz w:val="32"/>
          <w:szCs w:val="32"/>
        </w:rPr>
      </w:pPr>
      <w:r>
        <w:rPr>
          <w:rFonts w:eastAsia="黑体"/>
          <w:sz w:val="32"/>
          <w:szCs w:val="32"/>
        </w:rPr>
        <w:br w:type="page"/>
      </w:r>
      <w:r>
        <w:rPr>
          <w:rFonts w:hint="eastAsia" w:ascii="黑体" w:hAnsi="黑体" w:eastAsia="黑体" w:cs="黑体"/>
          <w:sz w:val="32"/>
          <w:szCs w:val="32"/>
        </w:rPr>
        <w:t>案例3</w:t>
      </w:r>
    </w:p>
    <w:p>
      <w:pPr>
        <w:spacing w:line="594" w:lineRule="exact"/>
        <w:jc w:val="center"/>
        <w:outlineLvl w:val="2"/>
        <w:rPr>
          <w:color w:val="361F11"/>
          <w:kern w:val="0"/>
          <w:sz w:val="44"/>
          <w:szCs w:val="44"/>
        </w:rPr>
      </w:pPr>
      <w:bookmarkStart w:id="1" w:name="检验检测认证一站式服务平台"/>
    </w:p>
    <w:p>
      <w:pPr>
        <w:spacing w:line="594" w:lineRule="exact"/>
        <w:jc w:val="center"/>
        <w:outlineLvl w:val="1"/>
        <w:rPr>
          <w:rFonts w:hint="eastAsia" w:ascii="方正小标宋简体" w:hAnsi="方正小标宋简体" w:eastAsia="方正小标宋简体" w:cs="方正小标宋简体"/>
          <w:color w:val="000000"/>
          <w:sz w:val="44"/>
          <w:szCs w:val="44"/>
          <w:shd w:val="clear" w:color="auto" w:fill="FFFFFF"/>
        </w:rPr>
      </w:pPr>
      <w:r>
        <w:rPr>
          <w:rFonts w:hint="eastAsia" w:ascii="方正小标宋简体" w:hAnsi="方正小标宋简体" w:eastAsia="方正小标宋简体" w:cs="方正小标宋简体"/>
          <w:color w:val="000000"/>
          <w:sz w:val="44"/>
          <w:szCs w:val="44"/>
          <w:shd w:val="clear" w:color="auto" w:fill="FFFFFF"/>
        </w:rPr>
        <w:t>“六个一”助力审批提速增效</w:t>
      </w:r>
    </w:p>
    <w:p>
      <w:pPr>
        <w:spacing w:line="594" w:lineRule="exact"/>
        <w:jc w:val="center"/>
        <w:rPr>
          <w:rFonts w:eastAsia="楷体_GB2312"/>
          <w:sz w:val="32"/>
          <w:szCs w:val="32"/>
        </w:rPr>
      </w:pPr>
      <w:r>
        <w:rPr>
          <w:rFonts w:eastAsia="楷体_GB2312"/>
          <w:sz w:val="32"/>
          <w:szCs w:val="32"/>
        </w:rPr>
        <w:t>（自贸试验区西安浐灞生态区功能区提供）</w:t>
      </w:r>
    </w:p>
    <w:p>
      <w:pPr>
        <w:spacing w:line="594" w:lineRule="exact"/>
        <w:ind w:firstLine="640" w:firstLineChars="200"/>
        <w:jc w:val="left"/>
        <w:outlineLvl w:val="2"/>
        <w:rPr>
          <w:rFonts w:eastAsia="仿宋"/>
          <w:sz w:val="32"/>
          <w:szCs w:val="32"/>
        </w:rPr>
      </w:pPr>
    </w:p>
    <w:p>
      <w:pPr>
        <w:spacing w:line="560" w:lineRule="exact"/>
        <w:ind w:firstLine="640" w:firstLineChars="200"/>
        <w:outlineLvl w:val="2"/>
        <w:rPr>
          <w:rFonts w:eastAsia="仿宋_GB2312"/>
          <w:color w:val="361F11"/>
          <w:kern w:val="0"/>
          <w:sz w:val="32"/>
          <w:szCs w:val="32"/>
        </w:rPr>
      </w:pPr>
      <w:r>
        <w:rPr>
          <w:rFonts w:eastAsia="仿宋"/>
          <w:sz w:val="32"/>
          <w:szCs w:val="32"/>
        </w:rPr>
        <w:t>浐</w:t>
      </w:r>
      <w:r>
        <w:rPr>
          <w:rFonts w:eastAsia="仿宋_GB2312"/>
          <w:sz w:val="32"/>
          <w:szCs w:val="32"/>
        </w:rPr>
        <w:t>灞生态区功能区对审批和服务事项进行大刀阔斧的改革和流程再造，通过简化前置条件、精简申报材料、优化审批流程、压缩办理时限等一系列强有力措施，狠抓相对集中行政许可权改革，努力为企业创造审批少、流程优、效率高、服务好的营商环境。</w:t>
      </w:r>
    </w:p>
    <w:p>
      <w:pPr>
        <w:spacing w:line="560" w:lineRule="exact"/>
        <w:ind w:firstLine="640" w:firstLineChars="200"/>
        <w:jc w:val="left"/>
        <w:outlineLvl w:val="2"/>
        <w:rPr>
          <w:rFonts w:eastAsia="黑体"/>
          <w:sz w:val="32"/>
          <w:szCs w:val="32"/>
        </w:rPr>
      </w:pPr>
      <w:r>
        <w:rPr>
          <w:rFonts w:eastAsia="黑体"/>
          <w:sz w:val="32"/>
          <w:szCs w:val="32"/>
        </w:rPr>
        <w:t>一、主要做法</w:t>
      </w:r>
    </w:p>
    <w:p>
      <w:pPr>
        <w:spacing w:line="560" w:lineRule="exact"/>
        <w:ind w:firstLine="643" w:firstLineChars="200"/>
        <w:jc w:val="left"/>
        <w:rPr>
          <w:rFonts w:eastAsia="仿宋_GB2312"/>
          <w:sz w:val="32"/>
          <w:szCs w:val="32"/>
        </w:rPr>
      </w:pPr>
      <w:bookmarkStart w:id="2" w:name="_Hlk535489276"/>
      <w:r>
        <w:rPr>
          <w:rFonts w:eastAsia="楷体_GB2312"/>
          <w:b/>
          <w:sz w:val="32"/>
          <w:szCs w:val="32"/>
        </w:rPr>
        <w:t>一“码”明指南</w:t>
      </w:r>
      <w:bookmarkEnd w:id="2"/>
      <w:r>
        <w:rPr>
          <w:rFonts w:eastAsia="楷体_GB2312"/>
          <w:b/>
          <w:sz w:val="32"/>
          <w:szCs w:val="32"/>
        </w:rPr>
        <w:t>。</w:t>
      </w:r>
      <w:r>
        <w:rPr>
          <w:rFonts w:eastAsia="仿宋_GB2312"/>
          <w:sz w:val="32"/>
          <w:szCs w:val="32"/>
        </w:rPr>
        <w:t>积极推行“一事一码”，将区域413个“最多跑一次”事项形成直观的二维码“矩阵”，办事群众只需扫描相应业务的二维码，即可通过手机等移动终端获知办理该项业务的审批流程、申报材料、办理时限等相关信息，实现“最多跑一次”在“码”上跑。</w:t>
      </w:r>
    </w:p>
    <w:p>
      <w:pPr>
        <w:spacing w:line="560" w:lineRule="exact"/>
        <w:ind w:firstLine="643" w:firstLineChars="200"/>
        <w:jc w:val="left"/>
        <w:rPr>
          <w:rFonts w:eastAsia="仿宋_GB2312"/>
          <w:sz w:val="32"/>
          <w:szCs w:val="32"/>
        </w:rPr>
      </w:pPr>
      <w:r>
        <w:rPr>
          <w:rFonts w:eastAsia="楷体_GB2312"/>
          <w:b/>
          <w:sz w:val="32"/>
          <w:szCs w:val="32"/>
        </w:rPr>
        <w:t>一“网”事通办。</w:t>
      </w:r>
      <w:r>
        <w:rPr>
          <w:rFonts w:eastAsia="仿宋_GB2312"/>
          <w:sz w:val="32"/>
          <w:szCs w:val="32"/>
        </w:rPr>
        <w:t>利用“互联网+政务服务”平台，通过数据共享、网上预审等方式，对164个市级高频事项和301个区级事项通过网上实现了不见面审批，“零跑路”的覆盖率达68%，业务办理逐步从“面对面”向“键对键”、从“线下”向“线上”转变，做到让数据“多跑路”，群众“少跑腿”。</w:t>
      </w:r>
    </w:p>
    <w:p>
      <w:pPr>
        <w:spacing w:line="560" w:lineRule="exact"/>
        <w:ind w:firstLine="643" w:firstLineChars="200"/>
        <w:jc w:val="left"/>
        <w:rPr>
          <w:rFonts w:eastAsia="仿宋_GB2312"/>
          <w:sz w:val="32"/>
          <w:szCs w:val="32"/>
        </w:rPr>
      </w:pPr>
      <w:r>
        <w:rPr>
          <w:rFonts w:eastAsia="楷体_GB2312"/>
          <w:b/>
          <w:sz w:val="32"/>
          <w:szCs w:val="32"/>
        </w:rPr>
        <w:t>一“简”增质效。</w:t>
      </w:r>
      <w:r>
        <w:rPr>
          <w:rFonts w:eastAsia="仿宋_GB2312"/>
          <w:sz w:val="32"/>
          <w:szCs w:val="32"/>
        </w:rPr>
        <w:t>坚持“重复材料不再反复提交”和“部门资料由政府内部协调”两大原则，实现企业所需提交材料事项从139项减至40项，精简率达71.2%；将规划阶段“一书二证”的申报材料减至17项，压缩幅度达50%；减少前置项目审批事项环节9个，并通过实行“容缺受理”“快速审批”等，极大提高审批办事的效率。</w:t>
      </w:r>
    </w:p>
    <w:p>
      <w:pPr>
        <w:spacing w:line="560" w:lineRule="exact"/>
        <w:ind w:firstLine="643" w:firstLineChars="200"/>
        <w:rPr>
          <w:rFonts w:eastAsia="仿宋_GB2312"/>
          <w:sz w:val="32"/>
          <w:szCs w:val="32"/>
        </w:rPr>
      </w:pPr>
      <w:r>
        <w:rPr>
          <w:rFonts w:eastAsia="楷体_GB2312"/>
          <w:b/>
          <w:sz w:val="32"/>
          <w:szCs w:val="32"/>
        </w:rPr>
        <w:t>一“会”定方案。</w:t>
      </w:r>
      <w:r>
        <w:rPr>
          <w:rFonts w:eastAsia="仿宋_GB2312"/>
          <w:sz w:val="32"/>
          <w:szCs w:val="32"/>
        </w:rPr>
        <w:t>在总平面图设计方案前期技术指导阶段，主动邀约企业代表参与业务会，由企业提出设计理念，在合理合规的前提下，用最短的时间敲定设计方案，助力企业提高办事效率，降低运行成本，变“多次跑”为“跑一次”。</w:t>
      </w:r>
    </w:p>
    <w:p>
      <w:pPr>
        <w:spacing w:line="560" w:lineRule="exact"/>
        <w:ind w:firstLine="643" w:firstLineChars="200"/>
        <w:rPr>
          <w:rFonts w:eastAsia="仿宋_GB2312"/>
          <w:sz w:val="32"/>
          <w:szCs w:val="32"/>
        </w:rPr>
      </w:pPr>
      <w:bookmarkStart w:id="3" w:name="_Hlk535489071"/>
      <w:r>
        <w:rPr>
          <w:rFonts w:eastAsia="楷体_GB2312"/>
          <w:b/>
          <w:sz w:val="32"/>
          <w:szCs w:val="32"/>
        </w:rPr>
        <w:t>一“表”给意见</w:t>
      </w:r>
      <w:bookmarkEnd w:id="3"/>
      <w:r>
        <w:rPr>
          <w:rFonts w:eastAsia="楷体_GB2312"/>
          <w:b/>
          <w:sz w:val="32"/>
          <w:szCs w:val="32"/>
        </w:rPr>
        <w:t>。</w:t>
      </w:r>
      <w:r>
        <w:rPr>
          <w:rFonts w:eastAsia="仿宋_GB2312"/>
          <w:sz w:val="32"/>
          <w:szCs w:val="32"/>
        </w:rPr>
        <w:t>对于耗时较长、过程复杂的总平面图和工程设计方案图纸审查，审批人员在对电子版图进行研究讨论后，将过去的口头反馈改为以《审批意见反馈表》将问题“一次写清”，避免企业折返跑和反复改，帮助企业快速实现图纸“达标”。</w:t>
      </w:r>
    </w:p>
    <w:p>
      <w:pPr>
        <w:spacing w:line="560" w:lineRule="exact"/>
        <w:ind w:firstLine="643" w:firstLineChars="200"/>
        <w:rPr>
          <w:rFonts w:eastAsia="仿宋_GB2312"/>
          <w:spacing w:val="8"/>
          <w:sz w:val="32"/>
          <w:szCs w:val="32"/>
        </w:rPr>
      </w:pPr>
      <w:bookmarkStart w:id="4" w:name="_Hlk535489038"/>
      <w:r>
        <w:rPr>
          <w:rFonts w:eastAsia="楷体_GB2312"/>
          <w:b/>
          <w:sz w:val="32"/>
          <w:szCs w:val="32"/>
        </w:rPr>
        <w:t>一“章”管审批</w:t>
      </w:r>
      <w:bookmarkEnd w:id="4"/>
      <w:r>
        <w:rPr>
          <w:rFonts w:eastAsia="楷体_GB2312"/>
          <w:b/>
          <w:sz w:val="32"/>
          <w:szCs w:val="32"/>
        </w:rPr>
        <w:t>。</w:t>
      </w:r>
      <w:r>
        <w:rPr>
          <w:rFonts w:eastAsia="仿宋_GB2312"/>
          <w:spacing w:val="8"/>
          <w:sz w:val="32"/>
          <w:szCs w:val="32"/>
        </w:rPr>
        <w:t>在建设项目规划方案审批阶段，对单体方案审查、市政车位审查、人防审查和绿地面积审查等环节实行并联审批。方案审查结束后，只需在总平面图加盖“建设项目审核专用章”，极大程度地缩减了用章审签程序，真正做到“一枚印章管到底”。</w:t>
      </w:r>
    </w:p>
    <w:p>
      <w:pPr>
        <w:spacing w:line="560" w:lineRule="exact"/>
        <w:ind w:firstLine="640" w:firstLineChars="200"/>
        <w:jc w:val="left"/>
        <w:outlineLvl w:val="2"/>
        <w:rPr>
          <w:rFonts w:eastAsia="仿宋_GB2312"/>
          <w:sz w:val="32"/>
          <w:szCs w:val="32"/>
        </w:rPr>
      </w:pPr>
      <w:r>
        <w:rPr>
          <w:rFonts w:eastAsia="仿宋_GB2312"/>
          <w:sz w:val="32"/>
          <w:szCs w:val="32"/>
        </w:rPr>
        <w:t>同时，</w:t>
      </w:r>
      <w:r>
        <w:rPr>
          <w:rFonts w:eastAsia="仿宋"/>
          <w:sz w:val="32"/>
          <w:szCs w:val="32"/>
        </w:rPr>
        <w:t>浐</w:t>
      </w:r>
      <w:r>
        <w:rPr>
          <w:rFonts w:eastAsia="仿宋_GB2312"/>
          <w:sz w:val="32"/>
          <w:szCs w:val="32"/>
        </w:rPr>
        <w:t>灞生态区功能区还围绕“六个一”相继出台《相对集中行政许可权运行管理办法》《关于建立相对集中行政许可权事项行政审批与监管协调联动工作机制的实施方案》《关于相对集中行政许可事项涉批文件推送工作制度》《关于相对集中行政许可权审批流程实施细则》及《关于行政审批“容缺受理”暂行办法》等多项管理办法，基本上形成了一套高效便捷的工作机制。</w:t>
      </w:r>
    </w:p>
    <w:p>
      <w:pPr>
        <w:spacing w:line="560" w:lineRule="exact"/>
        <w:ind w:firstLine="640" w:firstLineChars="200"/>
        <w:jc w:val="left"/>
        <w:outlineLvl w:val="2"/>
        <w:rPr>
          <w:rFonts w:eastAsia="黑体"/>
          <w:sz w:val="32"/>
          <w:szCs w:val="32"/>
        </w:rPr>
      </w:pPr>
      <w:r>
        <w:rPr>
          <w:rFonts w:eastAsia="黑体"/>
          <w:sz w:val="32"/>
          <w:szCs w:val="32"/>
        </w:rPr>
        <w:t>二、实践效果</w:t>
      </w:r>
    </w:p>
    <w:p>
      <w:pPr>
        <w:spacing w:line="560" w:lineRule="exact"/>
        <w:ind w:firstLine="640" w:firstLineChars="200"/>
        <w:jc w:val="left"/>
        <w:outlineLvl w:val="2"/>
        <w:rPr>
          <w:rFonts w:eastAsia="仿宋_GB2312"/>
          <w:sz w:val="32"/>
          <w:szCs w:val="32"/>
        </w:rPr>
      </w:pPr>
      <w:r>
        <w:rPr>
          <w:rFonts w:eastAsia="仿宋_GB2312"/>
          <w:sz w:val="32"/>
          <w:szCs w:val="32"/>
        </w:rPr>
        <w:t>据统计，“六个一”实施以来，浐灞生态区功能区80%以上的行政许可、行政确认、备案、委托类审批事项（审核转报类除外）实现“7日办结”。对于部分审批手续办理，推行“即来即办、立等可取、当面审批”。“最多跑一次”改革不断升级，多项业务甚至可以“一次都不跑”，区内的营商环境得到了极大改善，群众满意度和获得感持续提升。</w:t>
      </w:r>
    </w:p>
    <w:p>
      <w:pPr>
        <w:spacing w:line="560" w:lineRule="exact"/>
        <w:ind w:firstLine="640" w:firstLineChars="200"/>
        <w:jc w:val="left"/>
        <w:rPr>
          <w:rFonts w:eastAsia="黑体"/>
          <w:spacing w:val="8"/>
          <w:sz w:val="32"/>
          <w:szCs w:val="32"/>
        </w:rPr>
      </w:pPr>
      <w:r>
        <w:rPr>
          <w:rFonts w:eastAsia="黑体"/>
          <w:sz w:val="32"/>
          <w:szCs w:val="32"/>
        </w:rPr>
        <w:t>三、</w:t>
      </w:r>
      <w:r>
        <w:rPr>
          <w:rFonts w:eastAsia="黑体"/>
          <w:spacing w:val="8"/>
          <w:sz w:val="32"/>
          <w:szCs w:val="32"/>
        </w:rPr>
        <w:t>下一步工作思路</w:t>
      </w:r>
    </w:p>
    <w:p>
      <w:pPr>
        <w:spacing w:line="560" w:lineRule="exact"/>
        <w:ind w:firstLine="640" w:firstLineChars="200"/>
        <w:rPr>
          <w:rFonts w:eastAsia="仿宋_GB2312"/>
          <w:sz w:val="32"/>
          <w:szCs w:val="32"/>
        </w:rPr>
      </w:pPr>
      <w:r>
        <w:rPr>
          <w:rFonts w:eastAsia="仿宋_GB2312"/>
          <w:sz w:val="32"/>
          <w:szCs w:val="32"/>
        </w:rPr>
        <w:t>下一步，浐灞生态区功能区将利用大数据等技术手段，不断创新行政审批方式，狠抓相对集中行政许可权改革，努力打造审批少、流程优、效率高、服务好的营商环境，让企业有更多获得感。</w:t>
      </w:r>
      <w:bookmarkEnd w:id="1"/>
    </w:p>
    <w:p>
      <w:pPr>
        <w:spacing w:line="594" w:lineRule="exact"/>
        <w:rPr>
          <w:rFonts w:eastAsia="黑体"/>
          <w:sz w:val="32"/>
          <w:szCs w:val="32"/>
        </w:rPr>
      </w:pPr>
      <w:r>
        <w:rPr>
          <w:rFonts w:eastAsia="黑体"/>
          <w:sz w:val="32"/>
          <w:szCs w:val="32"/>
        </w:rPr>
        <w:br w:type="page"/>
      </w:r>
      <w:r>
        <w:rPr>
          <w:rFonts w:hint="eastAsia" w:ascii="黑体" w:hAnsi="黑体" w:eastAsia="黑体" w:cs="黑体"/>
          <w:sz w:val="32"/>
          <w:szCs w:val="32"/>
        </w:rPr>
        <w:t>案例4</w:t>
      </w:r>
    </w:p>
    <w:p>
      <w:pPr>
        <w:spacing w:line="594" w:lineRule="exact"/>
        <w:jc w:val="center"/>
        <w:outlineLvl w:val="1"/>
        <w:rPr>
          <w:rFonts w:eastAsia="方正小标宋_GBK"/>
          <w:color w:val="000000"/>
          <w:sz w:val="44"/>
          <w:szCs w:val="44"/>
          <w:shd w:val="clear" w:color="auto" w:fill="FFFFFF"/>
        </w:rPr>
      </w:pPr>
    </w:p>
    <w:p>
      <w:pPr>
        <w:spacing w:line="594" w:lineRule="exact"/>
        <w:jc w:val="center"/>
        <w:outlineLvl w:val="1"/>
        <w:rPr>
          <w:rFonts w:hint="eastAsia" w:ascii="方正小标宋简体" w:hAnsi="方正小标宋简体" w:eastAsia="方正小标宋简体" w:cs="方正小标宋简体"/>
          <w:color w:val="000000"/>
          <w:sz w:val="44"/>
          <w:szCs w:val="44"/>
          <w:shd w:val="clear" w:color="auto" w:fill="FFFFFF"/>
        </w:rPr>
      </w:pPr>
      <w:bookmarkStart w:id="5" w:name="文勘前置工作模式"/>
      <w:r>
        <w:rPr>
          <w:rFonts w:hint="eastAsia" w:ascii="方正小标宋简体" w:hAnsi="方正小标宋简体" w:eastAsia="方正小标宋简体" w:cs="方正小标宋简体"/>
          <w:color w:val="000000"/>
          <w:sz w:val="44"/>
          <w:szCs w:val="44"/>
          <w:shd w:val="clear" w:color="auto" w:fill="FFFFFF"/>
        </w:rPr>
        <w:fldChar w:fldCharType="begin"/>
      </w:r>
      <w:r>
        <w:rPr>
          <w:rFonts w:hint="eastAsia" w:ascii="方正小标宋简体" w:hAnsi="方正小标宋简体" w:eastAsia="方正小标宋简体" w:cs="方正小标宋简体"/>
          <w:color w:val="000000"/>
          <w:sz w:val="44"/>
          <w:szCs w:val="44"/>
          <w:shd w:val="clear" w:color="auto" w:fill="FFFFFF"/>
        </w:rPr>
        <w:instrText xml:space="preserve"> HYPERLINK \l "目录" </w:instrText>
      </w:r>
      <w:r>
        <w:rPr>
          <w:rFonts w:hint="eastAsia" w:ascii="方正小标宋简体" w:hAnsi="方正小标宋简体" w:eastAsia="方正小标宋简体" w:cs="方正小标宋简体"/>
          <w:color w:val="000000"/>
          <w:sz w:val="44"/>
          <w:szCs w:val="44"/>
          <w:shd w:val="clear" w:color="auto" w:fill="FFFFFF"/>
        </w:rPr>
        <w:fldChar w:fldCharType="separate"/>
      </w:r>
      <w:r>
        <w:rPr>
          <w:rFonts w:hint="eastAsia" w:ascii="方正小标宋简体" w:hAnsi="方正小标宋简体" w:eastAsia="方正小标宋简体" w:cs="方正小标宋简体"/>
          <w:color w:val="000000"/>
          <w:sz w:val="44"/>
          <w:szCs w:val="44"/>
          <w:shd w:val="clear" w:color="auto" w:fill="FFFFFF"/>
        </w:rPr>
        <w:t>文勘前置工作模式</w:t>
      </w:r>
      <w:bookmarkEnd w:id="5"/>
      <w:r>
        <w:rPr>
          <w:rFonts w:hint="eastAsia" w:ascii="方正小标宋简体" w:hAnsi="方正小标宋简体" w:eastAsia="方正小标宋简体" w:cs="方正小标宋简体"/>
          <w:color w:val="000000"/>
          <w:sz w:val="44"/>
          <w:szCs w:val="44"/>
          <w:shd w:val="clear" w:color="auto" w:fill="FFFFFF"/>
        </w:rPr>
        <w:fldChar w:fldCharType="end"/>
      </w:r>
    </w:p>
    <w:p>
      <w:pPr>
        <w:spacing w:line="594" w:lineRule="exact"/>
        <w:jc w:val="center"/>
        <w:rPr>
          <w:rFonts w:eastAsia="楷体_GB2312"/>
          <w:sz w:val="32"/>
          <w:szCs w:val="32"/>
        </w:rPr>
      </w:pPr>
      <w:r>
        <w:rPr>
          <w:rFonts w:eastAsia="楷体_GB2312"/>
          <w:sz w:val="32"/>
          <w:szCs w:val="32"/>
        </w:rPr>
        <w:t>（自贸试验区西咸新区空港新城功能区提供）</w:t>
      </w:r>
    </w:p>
    <w:p>
      <w:pPr>
        <w:autoSpaceDE w:val="0"/>
        <w:autoSpaceDN w:val="0"/>
        <w:adjustRightInd w:val="0"/>
        <w:spacing w:line="594" w:lineRule="exact"/>
        <w:rPr>
          <w:rFonts w:eastAsia="仿宋_GB2312"/>
          <w:sz w:val="32"/>
          <w:szCs w:val="32"/>
        </w:rPr>
      </w:pPr>
    </w:p>
    <w:p>
      <w:pPr>
        <w:autoSpaceDE w:val="0"/>
        <w:autoSpaceDN w:val="0"/>
        <w:adjustRightInd w:val="0"/>
        <w:spacing w:line="560" w:lineRule="exact"/>
        <w:ind w:firstLine="640" w:firstLineChars="200"/>
        <w:rPr>
          <w:rFonts w:eastAsia="仿宋_GB2312"/>
          <w:sz w:val="32"/>
          <w:szCs w:val="32"/>
        </w:rPr>
      </w:pPr>
      <w:r>
        <w:rPr>
          <w:rFonts w:eastAsia="仿宋_GB2312"/>
          <w:sz w:val="32"/>
          <w:szCs w:val="32"/>
        </w:rPr>
        <w:t>为切实解决文物勘探和考古发掘等制约项目开工建设的实际问题，进一步优化营商环境，提升服务水平，空港新城功能区通过对区内已储备土地实施项目用地集中文物勘探发掘和有效保护，实现“净地”供应，为企业项目快速落地和开工建设扫清障碍，极大地提高了项目审批效率。</w:t>
      </w:r>
    </w:p>
    <w:p>
      <w:pPr>
        <w:spacing w:line="560" w:lineRule="exact"/>
        <w:ind w:firstLine="640" w:firstLineChars="200"/>
        <w:rPr>
          <w:rFonts w:eastAsia="黑体"/>
          <w:sz w:val="32"/>
          <w:szCs w:val="32"/>
        </w:rPr>
      </w:pPr>
      <w:r>
        <w:rPr>
          <w:rFonts w:eastAsia="黑体"/>
          <w:sz w:val="32"/>
          <w:szCs w:val="32"/>
        </w:rPr>
        <w:t>一、主要做法</w:t>
      </w:r>
    </w:p>
    <w:p>
      <w:pPr>
        <w:spacing w:line="560" w:lineRule="exact"/>
        <w:ind w:firstLine="643" w:firstLineChars="200"/>
        <w:rPr>
          <w:rFonts w:eastAsia="楷体_GB2312"/>
          <w:b/>
          <w:sz w:val="32"/>
          <w:szCs w:val="32"/>
        </w:rPr>
      </w:pPr>
      <w:r>
        <w:rPr>
          <w:rFonts w:eastAsia="楷体_GB2312"/>
          <w:b/>
          <w:sz w:val="32"/>
          <w:szCs w:val="32"/>
        </w:rPr>
        <w:t>（一）成立文勘前置领导小组，加强组织领导。</w:t>
      </w:r>
    </w:p>
    <w:p>
      <w:pPr>
        <w:spacing w:line="560" w:lineRule="exact"/>
        <w:ind w:firstLine="640" w:firstLineChars="200"/>
        <w:rPr>
          <w:rFonts w:eastAsia="仿宋_GB2312"/>
          <w:sz w:val="32"/>
          <w:szCs w:val="32"/>
        </w:rPr>
      </w:pPr>
      <w:r>
        <w:rPr>
          <w:rFonts w:eastAsia="仿宋_GB2312"/>
          <w:sz w:val="32"/>
          <w:szCs w:val="32"/>
        </w:rPr>
        <w:t>成立由国土、文物、城市管理、公安等部门组成的文勘前置领导小组，制定《文勘前置组织实施办法》和《文勘前置工作流程》，加强对文勘前置工作的组织领导。</w:t>
      </w:r>
    </w:p>
    <w:p>
      <w:pPr>
        <w:numPr>
          <w:ilvl w:val="0"/>
          <w:numId w:val="2"/>
        </w:numPr>
        <w:spacing w:line="560" w:lineRule="exact"/>
        <w:ind w:firstLine="643" w:firstLineChars="200"/>
        <w:rPr>
          <w:rFonts w:eastAsia="楷体_GB2312"/>
          <w:b/>
          <w:sz w:val="32"/>
          <w:szCs w:val="32"/>
        </w:rPr>
      </w:pPr>
      <w:r>
        <w:rPr>
          <w:rFonts w:eastAsia="楷体_GB2312"/>
          <w:b/>
          <w:sz w:val="32"/>
          <w:szCs w:val="32"/>
        </w:rPr>
        <w:t>建立技术服务单位库，提供服务保障。</w:t>
      </w:r>
    </w:p>
    <w:p>
      <w:pPr>
        <w:spacing w:line="560" w:lineRule="exact"/>
        <w:ind w:firstLine="640" w:firstLineChars="200"/>
        <w:rPr>
          <w:rFonts w:eastAsia="仿宋_GB2312"/>
          <w:sz w:val="32"/>
          <w:szCs w:val="32"/>
        </w:rPr>
      </w:pPr>
      <w:r>
        <w:rPr>
          <w:rFonts w:eastAsia="仿宋_GB2312"/>
          <w:sz w:val="32"/>
          <w:szCs w:val="32"/>
        </w:rPr>
        <w:t>严格按照文物勘探工作要求，筛选确定优质企业，建立文物勘探技术单位库、文物发掘保护技术单位库和土方服务单位库，并实施定期考核和严格的进入踢出管理，为文物勘探发掘提供了优质的技术支持和配套服务。</w:t>
      </w:r>
    </w:p>
    <w:p>
      <w:pPr>
        <w:numPr>
          <w:ilvl w:val="0"/>
          <w:numId w:val="3"/>
        </w:numPr>
        <w:spacing w:line="560" w:lineRule="exact"/>
        <w:ind w:firstLine="643" w:firstLineChars="200"/>
        <w:rPr>
          <w:rFonts w:eastAsia="楷体_GB2312"/>
          <w:b/>
          <w:sz w:val="32"/>
          <w:szCs w:val="32"/>
        </w:rPr>
      </w:pPr>
      <w:r>
        <w:rPr>
          <w:rFonts w:eastAsia="楷体_GB2312"/>
          <w:b/>
          <w:sz w:val="32"/>
          <w:szCs w:val="32"/>
        </w:rPr>
        <w:t>实施土地集中勘探，保障“净地”供应。</w:t>
      </w:r>
    </w:p>
    <w:p>
      <w:pPr>
        <w:spacing w:line="560" w:lineRule="exact"/>
        <w:ind w:firstLine="640" w:firstLineChars="200"/>
        <w:rPr>
          <w:rFonts w:eastAsia="仿宋_GB2312"/>
          <w:sz w:val="32"/>
          <w:szCs w:val="32"/>
        </w:rPr>
      </w:pPr>
      <w:r>
        <w:rPr>
          <w:rFonts w:eastAsia="仿宋_GB2312"/>
          <w:sz w:val="32"/>
          <w:szCs w:val="32"/>
        </w:rPr>
        <w:t>按照“适度集中连片”的原则，形成项目用地集中文物勘探工作方案，对区内已储备土地全面实施项目用地集中文物勘探发掘，并将文物勘探和考古发掘费用计入项目区域土地成本，在土地供应时一并收回。</w:t>
      </w:r>
    </w:p>
    <w:p>
      <w:pPr>
        <w:numPr>
          <w:ilvl w:val="0"/>
          <w:numId w:val="4"/>
        </w:numPr>
        <w:spacing w:line="560" w:lineRule="exact"/>
        <w:ind w:firstLine="643" w:firstLineChars="200"/>
        <w:rPr>
          <w:rFonts w:eastAsia="楷体_GB2312"/>
          <w:b/>
          <w:sz w:val="32"/>
          <w:szCs w:val="32"/>
        </w:rPr>
      </w:pPr>
      <w:r>
        <w:rPr>
          <w:rFonts w:eastAsia="楷体_GB2312"/>
          <w:b/>
          <w:sz w:val="32"/>
          <w:szCs w:val="32"/>
        </w:rPr>
        <w:t>完善文物发掘保护机制，确保安全高效。</w:t>
      </w:r>
    </w:p>
    <w:p>
      <w:pPr>
        <w:spacing w:line="560" w:lineRule="exact"/>
        <w:ind w:firstLine="640" w:firstLineChars="200"/>
        <w:rPr>
          <w:rFonts w:eastAsia="仿宋_GB2312"/>
          <w:sz w:val="32"/>
          <w:szCs w:val="32"/>
        </w:rPr>
      </w:pPr>
      <w:r>
        <w:rPr>
          <w:rFonts w:eastAsia="仿宋_GB2312"/>
          <w:sz w:val="32"/>
          <w:szCs w:val="32"/>
        </w:rPr>
        <w:t>一是建立文勘监管报备机制。形成由市、区文物局和基层文管所三级监管的文勘监管报备程序，避免出现误探、恶意漏探等行为发生。二是建立考古发掘工作站机制。组织专家技术人员成立考古发掘工作站，片区化、规模化、标准化开展文物遗址考古发掘工作。三是建立文物安全联防机制。联合城市管理部门、公安部门等，重点加大对考古发掘工地的巡查，严厉打击文物犯罪行为。</w:t>
      </w:r>
    </w:p>
    <w:p>
      <w:pPr>
        <w:spacing w:line="560" w:lineRule="exact"/>
        <w:ind w:firstLine="640" w:firstLineChars="200"/>
        <w:rPr>
          <w:rFonts w:eastAsia="黑体"/>
          <w:sz w:val="32"/>
          <w:szCs w:val="32"/>
        </w:rPr>
      </w:pPr>
      <w:r>
        <w:rPr>
          <w:rFonts w:eastAsia="黑体"/>
          <w:sz w:val="32"/>
          <w:szCs w:val="32"/>
        </w:rPr>
        <w:t>二、实践效果</w:t>
      </w:r>
    </w:p>
    <w:p>
      <w:pPr>
        <w:spacing w:line="560" w:lineRule="exact"/>
        <w:ind w:firstLine="640" w:firstLineChars="200"/>
        <w:rPr>
          <w:rFonts w:eastAsia="仿宋_GB2312"/>
          <w:sz w:val="32"/>
          <w:szCs w:val="32"/>
        </w:rPr>
      </w:pPr>
      <w:r>
        <w:rPr>
          <w:rFonts w:eastAsia="仿宋_GB2312"/>
          <w:sz w:val="32"/>
          <w:szCs w:val="32"/>
        </w:rPr>
        <w:t>截至目前，空港新城功能区共完成15820亩储备及流转用地文物勘探工作，并对4720亩土地进行了文物遗址考古发掘，显著提升项目开发建设效率，促进了宝能、川航、京东、绿地会展、海航长安物流、梅里亚等重点项目快速落地。</w:t>
      </w:r>
    </w:p>
    <w:p>
      <w:pPr>
        <w:spacing w:line="560" w:lineRule="exact"/>
        <w:ind w:firstLine="643" w:firstLineChars="200"/>
        <w:rPr>
          <w:rFonts w:eastAsia="楷体_GB2312"/>
          <w:b/>
          <w:sz w:val="32"/>
          <w:szCs w:val="32"/>
        </w:rPr>
      </w:pPr>
      <w:r>
        <w:rPr>
          <w:rFonts w:hint="eastAsia" w:eastAsia="楷体_GB2312"/>
          <w:b/>
          <w:sz w:val="32"/>
          <w:szCs w:val="32"/>
        </w:rPr>
        <w:t>（一）</w:t>
      </w:r>
      <w:r>
        <w:rPr>
          <w:rFonts w:eastAsia="楷体_GB2312"/>
          <w:b/>
          <w:sz w:val="32"/>
          <w:szCs w:val="32"/>
        </w:rPr>
        <w:t>有效节约时间。</w:t>
      </w:r>
    </w:p>
    <w:p>
      <w:pPr>
        <w:spacing w:line="560" w:lineRule="exact"/>
        <w:ind w:firstLine="640" w:firstLineChars="200"/>
        <w:rPr>
          <w:rFonts w:eastAsia="仿宋_GB2312"/>
          <w:sz w:val="32"/>
          <w:szCs w:val="32"/>
        </w:rPr>
      </w:pPr>
      <w:r>
        <w:rPr>
          <w:rFonts w:eastAsia="仿宋_GB2312"/>
          <w:sz w:val="32"/>
          <w:szCs w:val="32"/>
        </w:rPr>
        <w:t>按照传统模式，企业在取得土地使用权后才可联系文勘单位实施文勘及考古发掘工作，如遇重大遗址发现就可能造成土地无法使用。在土地出让前进行文物勘探及考古发掘,使项目从立项到开工至少节约30%以上的时间，不仅为企业赢得了时间和效益，降低了时间成本，还有利于出土文物的保护。</w:t>
      </w:r>
    </w:p>
    <w:p>
      <w:pPr>
        <w:spacing w:line="560" w:lineRule="exact"/>
        <w:ind w:firstLine="643" w:firstLineChars="200"/>
        <w:rPr>
          <w:rFonts w:eastAsia="楷体_GB2312"/>
          <w:b/>
          <w:sz w:val="32"/>
          <w:szCs w:val="32"/>
        </w:rPr>
      </w:pPr>
      <w:r>
        <w:rPr>
          <w:rFonts w:hint="eastAsia" w:eastAsia="楷体_GB2312"/>
          <w:b/>
          <w:sz w:val="32"/>
          <w:szCs w:val="32"/>
        </w:rPr>
        <w:t>（二）</w:t>
      </w:r>
      <w:r>
        <w:rPr>
          <w:rFonts w:eastAsia="楷体_GB2312"/>
          <w:b/>
          <w:sz w:val="32"/>
          <w:szCs w:val="32"/>
        </w:rPr>
        <w:t>综合降低成本。</w:t>
      </w:r>
    </w:p>
    <w:p>
      <w:pPr>
        <w:spacing w:line="560" w:lineRule="exact"/>
        <w:ind w:firstLine="640" w:firstLineChars="200"/>
        <w:rPr>
          <w:rFonts w:eastAsia="仿宋_GB2312"/>
          <w:sz w:val="32"/>
          <w:szCs w:val="32"/>
        </w:rPr>
      </w:pPr>
      <w:r>
        <w:rPr>
          <w:rFonts w:eastAsia="仿宋_GB2312"/>
          <w:sz w:val="32"/>
          <w:szCs w:val="32"/>
        </w:rPr>
        <w:t>以往，企业自行开展文物勘探及考古发掘工作，由于用地范围内文物分布密度不同，文物集中的地块考古发掘费用有的一亩就高达几十万元。文勘前置后，将文物勘探和考古发掘费用计入项目区域土地成本，在土地供应时一并收回，解决了部分企业由于地块内文物分布密集而承担高额文物勘探及考古发掘费用的问题。</w:t>
      </w:r>
    </w:p>
    <w:p>
      <w:pPr>
        <w:spacing w:line="560" w:lineRule="exact"/>
        <w:ind w:firstLine="640" w:firstLineChars="200"/>
        <w:rPr>
          <w:rFonts w:eastAsia="黑体"/>
          <w:sz w:val="32"/>
          <w:szCs w:val="32"/>
        </w:rPr>
      </w:pPr>
      <w:r>
        <w:rPr>
          <w:rFonts w:eastAsia="黑体"/>
          <w:sz w:val="32"/>
          <w:szCs w:val="32"/>
        </w:rPr>
        <w:t>三、下一步工作思路</w:t>
      </w:r>
    </w:p>
    <w:p>
      <w:pPr>
        <w:spacing w:line="560" w:lineRule="exact"/>
        <w:ind w:firstLine="640" w:firstLineChars="200"/>
        <w:rPr>
          <w:rFonts w:eastAsia="仿宋_GB2312"/>
          <w:sz w:val="32"/>
          <w:szCs w:val="32"/>
        </w:rPr>
      </w:pPr>
      <w:r>
        <w:rPr>
          <w:rFonts w:eastAsia="仿宋_GB2312"/>
          <w:sz w:val="32"/>
          <w:szCs w:val="32"/>
        </w:rPr>
        <w:t>下一步，空港新城功能区将积极与省、市文物局和考古院探索研究，建立快速合作反应机制，进一步推进文勘前置工作的及时性和精准性，保障土地供应。</w:t>
      </w:r>
    </w:p>
    <w:p>
      <w:pPr>
        <w:spacing w:line="594" w:lineRule="exact"/>
        <w:rPr>
          <w:rFonts w:eastAsia="黑体"/>
          <w:sz w:val="32"/>
          <w:szCs w:val="32"/>
        </w:rPr>
      </w:pPr>
      <w:r>
        <w:rPr>
          <w:rFonts w:eastAsia="黑体"/>
          <w:sz w:val="32"/>
          <w:szCs w:val="32"/>
        </w:rPr>
        <w:br w:type="page"/>
      </w:r>
      <w:r>
        <w:rPr>
          <w:rFonts w:hint="eastAsia" w:ascii="黑体" w:hAnsi="黑体" w:eastAsia="黑体" w:cs="黑体"/>
          <w:sz w:val="32"/>
          <w:szCs w:val="32"/>
        </w:rPr>
        <w:t>案例5</w:t>
      </w:r>
    </w:p>
    <w:p>
      <w:pPr>
        <w:spacing w:line="594" w:lineRule="exact"/>
        <w:jc w:val="center"/>
        <w:outlineLvl w:val="1"/>
        <w:rPr>
          <w:rFonts w:eastAsia="方正小标宋_GBK"/>
          <w:color w:val="000000"/>
          <w:sz w:val="44"/>
          <w:szCs w:val="44"/>
          <w:shd w:val="clear" w:color="auto" w:fill="FFFFFF"/>
        </w:rPr>
      </w:pPr>
    </w:p>
    <w:p>
      <w:pPr>
        <w:spacing w:line="594" w:lineRule="exact"/>
        <w:jc w:val="center"/>
        <w:outlineLvl w:val="1"/>
        <w:rPr>
          <w:rFonts w:eastAsia="方正小标宋_GBK"/>
          <w:color w:val="000000"/>
          <w:sz w:val="44"/>
          <w:szCs w:val="44"/>
          <w:shd w:val="clear" w:color="auto" w:fill="FFFFFF"/>
        </w:rPr>
      </w:pPr>
      <w:bookmarkStart w:id="6" w:name="“长安E贷”线上体系创新金融服务模式"/>
      <w:r>
        <w:rPr>
          <w:rFonts w:hint="eastAsia" w:ascii="方正小标宋简体" w:hAnsi="方正小标宋简体" w:eastAsia="方正小标宋简体" w:cs="方正小标宋简体"/>
          <w:color w:val="000000"/>
          <w:sz w:val="44"/>
          <w:szCs w:val="44"/>
          <w:shd w:val="clear" w:color="auto" w:fill="FFFFFF"/>
        </w:rPr>
        <w:fldChar w:fldCharType="begin"/>
      </w:r>
      <w:r>
        <w:rPr>
          <w:rFonts w:hint="eastAsia" w:ascii="方正小标宋简体" w:hAnsi="方正小标宋简体" w:eastAsia="方正小标宋简体" w:cs="方正小标宋简体"/>
          <w:color w:val="000000"/>
          <w:sz w:val="44"/>
          <w:szCs w:val="44"/>
          <w:shd w:val="clear" w:color="auto" w:fill="FFFFFF"/>
        </w:rPr>
        <w:instrText xml:space="preserve"> HYPERLINK \l "目录" </w:instrText>
      </w:r>
      <w:r>
        <w:rPr>
          <w:rFonts w:hint="eastAsia" w:ascii="方正小标宋简体" w:hAnsi="方正小标宋简体" w:eastAsia="方正小标宋简体" w:cs="方正小标宋简体"/>
          <w:color w:val="000000"/>
          <w:sz w:val="44"/>
          <w:szCs w:val="44"/>
          <w:shd w:val="clear" w:color="auto" w:fill="FFFFFF"/>
        </w:rPr>
        <w:fldChar w:fldCharType="separate"/>
      </w:r>
      <w:r>
        <w:rPr>
          <w:rFonts w:hint="eastAsia" w:ascii="方正小标宋简体" w:hAnsi="方正小标宋简体" w:eastAsia="方正小标宋简体" w:cs="方正小标宋简体"/>
          <w:color w:val="000000"/>
          <w:sz w:val="44"/>
          <w:szCs w:val="44"/>
          <w:shd w:val="clear" w:color="auto" w:fill="FFFFFF"/>
        </w:rPr>
        <w:t>“长安E贷”线上体系创新金融服务模式</w:t>
      </w:r>
      <w:r>
        <w:rPr>
          <w:rFonts w:hint="eastAsia" w:ascii="方正小标宋简体" w:hAnsi="方正小标宋简体" w:eastAsia="方正小标宋简体" w:cs="方正小标宋简体"/>
          <w:color w:val="000000"/>
          <w:sz w:val="44"/>
          <w:szCs w:val="44"/>
          <w:shd w:val="clear" w:color="auto" w:fill="FFFFFF"/>
        </w:rPr>
        <w:fldChar w:fldCharType="end"/>
      </w:r>
    </w:p>
    <w:p>
      <w:pPr>
        <w:spacing w:line="594" w:lineRule="exact"/>
        <w:jc w:val="center"/>
        <w:rPr>
          <w:rFonts w:eastAsia="楷体_GB2312"/>
          <w:sz w:val="32"/>
          <w:szCs w:val="32"/>
        </w:rPr>
      </w:pPr>
      <w:r>
        <w:rPr>
          <w:rFonts w:eastAsia="楷体_GB2312"/>
          <w:sz w:val="32"/>
          <w:szCs w:val="32"/>
        </w:rPr>
        <w:t>（自贸试验区西咸新区能源金贸功能区提供）</w:t>
      </w:r>
    </w:p>
    <w:p>
      <w:pPr>
        <w:spacing w:line="594" w:lineRule="exact"/>
        <w:ind w:firstLine="640" w:firstLineChars="200"/>
        <w:rPr>
          <w:rFonts w:eastAsia="仿宋_GB2312"/>
          <w:sz w:val="32"/>
          <w:szCs w:val="32"/>
        </w:rPr>
      </w:pPr>
    </w:p>
    <w:bookmarkEnd w:id="6"/>
    <w:p>
      <w:pPr>
        <w:adjustRightInd w:val="0"/>
        <w:snapToGrid w:val="0"/>
        <w:spacing w:line="560" w:lineRule="exact"/>
        <w:ind w:firstLine="640" w:firstLineChars="200"/>
        <w:rPr>
          <w:rFonts w:eastAsia="仿宋_GB2312"/>
          <w:color w:val="000000"/>
          <w:sz w:val="32"/>
          <w:szCs w:val="32"/>
        </w:rPr>
      </w:pPr>
      <w:r>
        <w:rPr>
          <w:rFonts w:eastAsia="仿宋_GB2312"/>
          <w:color w:val="000000"/>
          <w:sz w:val="32"/>
          <w:szCs w:val="32"/>
        </w:rPr>
        <w:t>为贯彻落实中、省促进中小企业健康发展精神，进一步激发自由贸易试验区内市场主体活力，能源金贸功能区与长安银行合作推出了服务中小企业发展的“长安E贷”线上小微金融产品综合服务体系，实现企业小额信贷“秒批”“秒贷”，有效破解了中小微企业融资难融资贵问题，探索出了一条“金融+综合服务”助推实体经济高质量发展的新模式。</w:t>
      </w:r>
    </w:p>
    <w:p>
      <w:pPr>
        <w:adjustRightInd w:val="0"/>
        <w:snapToGrid w:val="0"/>
        <w:spacing w:line="560" w:lineRule="exact"/>
        <w:ind w:firstLine="640" w:firstLineChars="200"/>
        <w:rPr>
          <w:rFonts w:eastAsia="黑体"/>
          <w:color w:val="000000"/>
          <w:sz w:val="32"/>
          <w:szCs w:val="32"/>
        </w:rPr>
      </w:pPr>
      <w:r>
        <w:rPr>
          <w:rFonts w:eastAsia="黑体"/>
          <w:color w:val="000000"/>
          <w:sz w:val="32"/>
          <w:szCs w:val="32"/>
        </w:rPr>
        <w:t>一、主要做法</w:t>
      </w:r>
    </w:p>
    <w:p>
      <w:pPr>
        <w:adjustRightInd w:val="0"/>
        <w:snapToGrid w:val="0"/>
        <w:spacing w:line="560" w:lineRule="exact"/>
        <w:ind w:firstLine="646"/>
        <w:rPr>
          <w:rFonts w:eastAsia="仿宋_GB2312"/>
          <w:color w:val="000000"/>
          <w:sz w:val="32"/>
          <w:szCs w:val="32"/>
        </w:rPr>
      </w:pPr>
      <w:r>
        <w:rPr>
          <w:rFonts w:eastAsia="楷体_GB2312"/>
          <w:b/>
          <w:color w:val="000000"/>
          <w:sz w:val="32"/>
          <w:szCs w:val="32"/>
        </w:rPr>
        <w:t>（一）聚焦企业信贷痛点，推出线上“秒批”“秒贷”平台。</w:t>
      </w:r>
      <w:r>
        <w:rPr>
          <w:rFonts w:eastAsia="仿宋_GB2312"/>
          <w:color w:val="000000"/>
          <w:sz w:val="32"/>
          <w:szCs w:val="32"/>
        </w:rPr>
        <w:t>为解决区内中小企业融资难、融资贵，能源金贸功能区与长安银行简化信贷审批流程，创新性推出“长安E贷”线上小微产品综合服务体系，打造了以“长安e贷”为主产品，以“优税e贷”、“普惠e贷”为子产品的自助全流程线上操作金融产品，企业可以通过长安银行官网、手机银行、微信小程序随时申请最高200万元短期贷款，实现了企业自主提款、循环使用、随借随还，企业贷款“秒批”“秒贷”，极大的降低了企业融资成本。</w:t>
      </w:r>
    </w:p>
    <w:p>
      <w:pPr>
        <w:adjustRightInd w:val="0"/>
        <w:snapToGrid w:val="0"/>
        <w:spacing w:line="560" w:lineRule="exact"/>
        <w:ind w:firstLine="643" w:firstLineChars="200"/>
        <w:rPr>
          <w:rFonts w:eastAsia="仿宋_GB2312"/>
          <w:color w:val="000000"/>
          <w:sz w:val="32"/>
          <w:szCs w:val="32"/>
        </w:rPr>
      </w:pPr>
      <w:r>
        <w:rPr>
          <w:rFonts w:eastAsia="楷体_GB2312"/>
          <w:b/>
          <w:color w:val="000000"/>
          <w:sz w:val="32"/>
          <w:szCs w:val="32"/>
        </w:rPr>
        <w:t>（二）打通政银数据壁垒，精准刻画企业信用。</w:t>
      </w:r>
      <w:r>
        <w:rPr>
          <w:rFonts w:eastAsia="仿宋_GB2312"/>
          <w:color w:val="000000"/>
          <w:sz w:val="32"/>
          <w:szCs w:val="32"/>
        </w:rPr>
        <w:t>长安银行将自有的小微企业金融业务移动营销管理平台与能源金贸功能区云端自贸产业园平台实现数据共享，</w:t>
      </w:r>
      <w:r>
        <w:rPr>
          <w:rFonts w:eastAsia="仿宋_GB2312"/>
          <w:color w:val="000000"/>
          <w:sz w:val="32"/>
          <w:szCs w:val="32"/>
          <w:lang w:val="zh-CN"/>
        </w:rPr>
        <w:t>整合征信、反欺诈信息、涉诉信息、企业互联网行为等多个信息数据维度，</w:t>
      </w:r>
      <w:r>
        <w:rPr>
          <w:rFonts w:eastAsia="仿宋_GB2312"/>
          <w:color w:val="000000"/>
          <w:sz w:val="32"/>
          <w:szCs w:val="32"/>
        </w:rPr>
        <w:t>以大数据分析、精准企业画像、设计监测模型等手段，实现了以企业信用为核心的信贷评估。</w:t>
      </w:r>
    </w:p>
    <w:p>
      <w:pPr>
        <w:adjustRightInd w:val="0"/>
        <w:snapToGrid w:val="0"/>
        <w:spacing w:line="560" w:lineRule="exact"/>
        <w:ind w:firstLine="630" w:firstLineChars="196"/>
        <w:rPr>
          <w:rFonts w:eastAsia="仿宋_GB2312"/>
          <w:sz w:val="32"/>
          <w:szCs w:val="32"/>
        </w:rPr>
      </w:pPr>
      <w:r>
        <w:rPr>
          <w:rFonts w:eastAsia="楷体_GB2312"/>
          <w:b/>
          <w:color w:val="000000"/>
          <w:sz w:val="32"/>
          <w:szCs w:val="32"/>
        </w:rPr>
        <w:t>（三）注重动态监控，降低信贷风险。</w:t>
      </w:r>
      <w:r>
        <w:rPr>
          <w:rFonts w:eastAsia="仿宋_GB2312"/>
          <w:sz w:val="32"/>
          <w:szCs w:val="32"/>
        </w:rPr>
        <w:t>为防范金融风险，长安银行创建了从“事后报告”风险到“事前预警”风险的新型预警理念，将风险监测聚焦于企业生产经营的全过程，全面监测企业生产经营状况、深挖风险演变规律及表征，设置具体风险监测指标，在信贷资产裂变前识别潜在风险，</w:t>
      </w:r>
      <w:r>
        <w:rPr>
          <w:rFonts w:eastAsia="仿宋_GB2312"/>
          <w:color w:val="000000"/>
          <w:sz w:val="32"/>
          <w:szCs w:val="32"/>
        </w:rPr>
        <w:t>一旦风险达到预警值，银行将采取优先锁定部分资金等措施，降低信贷风险，确保信贷资金安全。</w:t>
      </w:r>
      <w:r>
        <w:rPr>
          <w:rFonts w:eastAsia="仿宋_GB2312"/>
          <w:sz w:val="32"/>
          <w:szCs w:val="32"/>
        </w:rPr>
        <w:t>同时，通过信息警示、交叉验证、信息验证等综合技术措施，促进风险控制前移，有效降低银行信贷风险。</w:t>
      </w:r>
    </w:p>
    <w:p>
      <w:pPr>
        <w:adjustRightInd w:val="0"/>
        <w:snapToGrid w:val="0"/>
        <w:spacing w:line="560" w:lineRule="exact"/>
        <w:ind w:firstLine="640" w:firstLineChars="200"/>
        <w:rPr>
          <w:rFonts w:eastAsia="黑体"/>
          <w:color w:val="000000"/>
          <w:sz w:val="32"/>
          <w:szCs w:val="32"/>
        </w:rPr>
      </w:pPr>
      <w:r>
        <w:rPr>
          <w:rFonts w:eastAsia="黑体"/>
          <w:color w:val="000000"/>
          <w:sz w:val="32"/>
          <w:szCs w:val="32"/>
        </w:rPr>
        <w:t>二、实践效果</w:t>
      </w:r>
    </w:p>
    <w:p>
      <w:pPr>
        <w:adjustRightInd w:val="0"/>
        <w:snapToGrid w:val="0"/>
        <w:spacing w:line="560" w:lineRule="exact"/>
        <w:ind w:firstLine="646"/>
        <w:rPr>
          <w:rFonts w:eastAsia="仿宋_GB2312"/>
          <w:color w:val="000000"/>
          <w:sz w:val="32"/>
          <w:szCs w:val="32"/>
        </w:rPr>
      </w:pPr>
      <w:r>
        <w:rPr>
          <w:rFonts w:eastAsia="仿宋_GB2312"/>
          <w:color w:val="000000"/>
          <w:sz w:val="32"/>
          <w:szCs w:val="32"/>
        </w:rPr>
        <w:t>“长安E贷”线上小微产品综合服务体系推出以来，区内60%的企业已经通过该模式获得了贷款预授额度并在线申请贷款，时间由原先至少1周缩短至10分钟。截止目前，平台已为6000多户企业提供了35亿元的流动资金贷款，达到了双向降低信贷成本，满足企业多元化融资需求的目的。</w:t>
      </w:r>
    </w:p>
    <w:p>
      <w:pPr>
        <w:adjustRightInd w:val="0"/>
        <w:snapToGrid w:val="0"/>
        <w:spacing w:line="560" w:lineRule="exact"/>
        <w:ind w:firstLine="640" w:firstLineChars="200"/>
        <w:rPr>
          <w:rFonts w:eastAsia="黑体"/>
          <w:color w:val="000000"/>
          <w:sz w:val="32"/>
          <w:szCs w:val="32"/>
        </w:rPr>
      </w:pPr>
      <w:r>
        <w:rPr>
          <w:rFonts w:eastAsia="黑体"/>
          <w:color w:val="000000"/>
          <w:sz w:val="32"/>
          <w:szCs w:val="32"/>
        </w:rPr>
        <w:t>三、下一步工作思路</w:t>
      </w:r>
    </w:p>
    <w:p>
      <w:pPr>
        <w:adjustRightInd w:val="0"/>
        <w:snapToGrid w:val="0"/>
        <w:spacing w:line="560" w:lineRule="exact"/>
        <w:ind w:firstLine="640" w:firstLineChars="200"/>
        <w:rPr>
          <w:rFonts w:eastAsia="仿宋_GB2312"/>
          <w:sz w:val="32"/>
          <w:szCs w:val="32"/>
        </w:rPr>
      </w:pPr>
      <w:r>
        <w:rPr>
          <w:rFonts w:eastAsia="仿宋_GB2312"/>
          <w:color w:val="000000"/>
          <w:sz w:val="32"/>
          <w:szCs w:val="32"/>
        </w:rPr>
        <w:t>下一步，能源金贸功能区将与长安银行联手，不断完善产品综合服务体系，加大双向平台对接，持续创新金融产品与服务，不断提升金融服务实体经济的能力与水平。</w:t>
      </w:r>
    </w:p>
    <w:p>
      <w:pPr>
        <w:spacing w:line="594" w:lineRule="exact"/>
        <w:rPr>
          <w:rFonts w:eastAsia="黑体"/>
          <w:sz w:val="32"/>
          <w:szCs w:val="32"/>
        </w:rPr>
      </w:pPr>
      <w:r>
        <w:rPr>
          <w:rFonts w:eastAsia="黑体"/>
          <w:sz w:val="32"/>
          <w:szCs w:val="32"/>
        </w:rPr>
        <w:br w:type="page"/>
      </w:r>
      <w:r>
        <w:rPr>
          <w:rFonts w:hint="eastAsia" w:ascii="黑体" w:hAnsi="黑体" w:eastAsia="黑体" w:cs="黑体"/>
          <w:sz w:val="32"/>
          <w:szCs w:val="32"/>
        </w:rPr>
        <w:t>案例6</w:t>
      </w:r>
    </w:p>
    <w:p>
      <w:pPr>
        <w:spacing w:line="594" w:lineRule="exact"/>
        <w:jc w:val="center"/>
        <w:rPr>
          <w:rFonts w:eastAsia="方正小标宋简体"/>
          <w:sz w:val="44"/>
          <w:szCs w:val="44"/>
        </w:rPr>
      </w:pPr>
    </w:p>
    <w:p>
      <w:pPr>
        <w:spacing w:line="594" w:lineRule="exact"/>
        <w:jc w:val="center"/>
        <w:outlineLvl w:val="1"/>
        <w:rPr>
          <w:rFonts w:hint="eastAsia" w:ascii="方正小标宋简体" w:hAnsi="方正小标宋简体" w:eastAsia="方正小标宋简体" w:cs="方正小标宋简体"/>
          <w:color w:val="000000"/>
          <w:sz w:val="44"/>
          <w:szCs w:val="44"/>
          <w:shd w:val="clear" w:color="auto" w:fill="FFFFFF"/>
        </w:rPr>
      </w:pPr>
      <w:r>
        <w:rPr>
          <w:rFonts w:hint="eastAsia" w:ascii="方正小标宋简体" w:hAnsi="方正小标宋简体" w:eastAsia="方正小标宋简体" w:cs="方正小标宋简体"/>
          <w:color w:val="000000"/>
          <w:sz w:val="44"/>
          <w:szCs w:val="44"/>
          <w:shd w:val="clear" w:color="auto" w:fill="FFFFFF"/>
        </w:rPr>
        <w:t>创新“税-银-企”合作机制</w:t>
      </w:r>
    </w:p>
    <w:p>
      <w:pPr>
        <w:spacing w:line="594" w:lineRule="exact"/>
        <w:jc w:val="center"/>
        <w:rPr>
          <w:rFonts w:eastAsia="楷体_GB2312"/>
          <w:sz w:val="32"/>
          <w:szCs w:val="32"/>
        </w:rPr>
      </w:pPr>
      <w:r>
        <w:rPr>
          <w:rFonts w:eastAsia="楷体_GB2312"/>
          <w:sz w:val="32"/>
          <w:szCs w:val="32"/>
        </w:rPr>
        <w:t>（自贸试验区西安经开区功能区提供）</w:t>
      </w:r>
    </w:p>
    <w:p>
      <w:pPr>
        <w:spacing w:line="594" w:lineRule="exact"/>
        <w:ind w:firstLine="640" w:firstLineChars="200"/>
        <w:rPr>
          <w:rFonts w:eastAsia="仿宋_GB2312"/>
          <w:sz w:val="32"/>
          <w:szCs w:val="32"/>
        </w:rPr>
      </w:pPr>
    </w:p>
    <w:p>
      <w:pPr>
        <w:spacing w:line="560" w:lineRule="exact"/>
        <w:ind w:firstLine="640" w:firstLineChars="200"/>
        <w:rPr>
          <w:rFonts w:eastAsia="仿宋_GB2312"/>
          <w:sz w:val="32"/>
          <w:szCs w:val="32"/>
        </w:rPr>
      </w:pPr>
      <w:r>
        <w:rPr>
          <w:rFonts w:eastAsia="仿宋_GB2312"/>
          <w:sz w:val="32"/>
          <w:szCs w:val="32"/>
        </w:rPr>
        <w:t>为进一步营造自贸试验区的良好营商环境，拓宽小微企业融资渠道，助力企业发展，经开区功能区携手经开区税务局、中国建设银行陕西省分行进一步深化合作，创新建立“税-银-企”合作机制，着力发挥好“解决小微企业融资难题”与“引导小微企业诚信纳税”双重作用，破解自贸试验区小微企业融资难题，取得了较好成效。</w:t>
      </w:r>
    </w:p>
    <w:p>
      <w:pPr>
        <w:spacing w:line="560" w:lineRule="exact"/>
        <w:ind w:firstLine="640" w:firstLineChars="200"/>
        <w:rPr>
          <w:rFonts w:eastAsia="黑体"/>
          <w:sz w:val="32"/>
          <w:szCs w:val="32"/>
        </w:rPr>
      </w:pPr>
      <w:r>
        <w:rPr>
          <w:rFonts w:eastAsia="黑体"/>
          <w:sz w:val="32"/>
          <w:szCs w:val="32"/>
        </w:rPr>
        <w:t>一、主要做法</w:t>
      </w:r>
    </w:p>
    <w:p>
      <w:pPr>
        <w:spacing w:line="560" w:lineRule="exact"/>
        <w:ind w:firstLine="643" w:firstLineChars="200"/>
        <w:rPr>
          <w:rFonts w:eastAsia="楷体_GB2312"/>
          <w:b/>
          <w:bCs/>
          <w:sz w:val="32"/>
          <w:szCs w:val="32"/>
        </w:rPr>
      </w:pPr>
      <w:r>
        <w:rPr>
          <w:rFonts w:eastAsia="楷体_GB2312"/>
          <w:b/>
          <w:bCs/>
          <w:sz w:val="32"/>
          <w:szCs w:val="32"/>
        </w:rPr>
        <w:t>（一）推出纯信用贷款模式。</w:t>
      </w:r>
    </w:p>
    <w:p>
      <w:pPr>
        <w:spacing w:line="560" w:lineRule="exact"/>
        <w:ind w:firstLine="640" w:firstLineChars="200"/>
        <w:rPr>
          <w:rFonts w:eastAsia="仿宋_GB2312"/>
          <w:bCs/>
          <w:sz w:val="32"/>
          <w:szCs w:val="32"/>
        </w:rPr>
      </w:pPr>
      <w:r>
        <w:rPr>
          <w:rFonts w:eastAsia="仿宋_GB2312"/>
          <w:bCs/>
          <w:sz w:val="32"/>
          <w:szCs w:val="32"/>
        </w:rPr>
        <w:t>“税-银-企”合作机制借助大数据和“互联网＋金融”新技术手段，将金融科技融入合作模式创新，推出专门为小微企业提供的“云税贷”纯信用贷款产品。该产品基于小微企业纳税信用等级、纳税信息、信用状况及企业实际控制人的信用状况、银税合作框架协议等，根据企业信誉度和企业负责人个人信誉度评级的等级不同，运用大数据分析，按企业缴税额度的相应倍数放大而给予企业一定的授信额度，其贷款金额最高为企业近一年年均纳税额的5倍。企业可以采取全线上自助操作办理免抵押物最高200万元的纯信用贷款，以满足小微企业的融资需求。</w:t>
      </w:r>
    </w:p>
    <w:p>
      <w:pPr>
        <w:spacing w:line="560" w:lineRule="exact"/>
        <w:ind w:firstLine="643" w:firstLineChars="200"/>
        <w:rPr>
          <w:rFonts w:eastAsia="楷体_GB2312"/>
          <w:b/>
          <w:bCs/>
          <w:sz w:val="32"/>
          <w:szCs w:val="32"/>
        </w:rPr>
      </w:pPr>
      <w:r>
        <w:rPr>
          <w:rFonts w:hint="eastAsia" w:eastAsia="楷体_GB2312"/>
          <w:b/>
          <w:bCs/>
          <w:sz w:val="32"/>
          <w:szCs w:val="32"/>
        </w:rPr>
        <w:t>（二）</w:t>
      </w:r>
      <w:r>
        <w:rPr>
          <w:rFonts w:eastAsia="楷体_GB2312"/>
          <w:b/>
          <w:bCs/>
          <w:sz w:val="32"/>
          <w:szCs w:val="32"/>
        </w:rPr>
        <w:t>简化企业贷款办理流程。</w:t>
      </w:r>
    </w:p>
    <w:p>
      <w:pPr>
        <w:spacing w:line="560" w:lineRule="exact"/>
        <w:ind w:firstLine="640" w:firstLineChars="200"/>
        <w:rPr>
          <w:rFonts w:eastAsia="仿宋_GB2312"/>
          <w:bCs/>
          <w:w w:val="98"/>
          <w:sz w:val="32"/>
          <w:szCs w:val="32"/>
        </w:rPr>
      </w:pPr>
      <w:r>
        <w:rPr>
          <w:rFonts w:eastAsia="仿宋_GB2312"/>
          <w:bCs/>
          <w:sz w:val="32"/>
          <w:szCs w:val="32"/>
        </w:rPr>
        <w:t>“云税贷”采取7×24小时自助全流程线上操作，小微企业贷款实现高效率</w:t>
      </w:r>
      <w:r>
        <w:rPr>
          <w:rFonts w:eastAsia="仿宋_GB2312"/>
          <w:bCs/>
          <w:w w:val="98"/>
          <w:sz w:val="32"/>
          <w:szCs w:val="32"/>
        </w:rPr>
        <w:t>、高额度，不受时间与空间的限制。开通网银的企业可直接在线开通“信贷融资”业务功能，系统通过连入税务局纳税信用数据平台，比对企业信誉度和企业负责人个人信誉评级登记，得出审批结果并显示企业信用登记和可贷款金额。企业信用等级在B级及以上都可获得贷款“秒放”，让守信企业“信用变现”。</w:t>
      </w:r>
    </w:p>
    <w:p>
      <w:pPr>
        <w:spacing w:line="560" w:lineRule="exact"/>
        <w:ind w:firstLine="643" w:firstLineChars="200"/>
        <w:rPr>
          <w:rFonts w:eastAsia="楷体_GB2312"/>
          <w:b/>
          <w:bCs/>
          <w:sz w:val="32"/>
          <w:szCs w:val="32"/>
        </w:rPr>
      </w:pPr>
      <w:r>
        <w:rPr>
          <w:rFonts w:hint="eastAsia" w:eastAsia="楷体_GB2312"/>
          <w:b/>
          <w:bCs/>
          <w:sz w:val="32"/>
          <w:szCs w:val="32"/>
        </w:rPr>
        <w:t>（三）</w:t>
      </w:r>
      <w:r>
        <w:rPr>
          <w:rFonts w:eastAsia="楷体_GB2312"/>
          <w:b/>
          <w:bCs/>
          <w:sz w:val="32"/>
          <w:szCs w:val="32"/>
        </w:rPr>
        <w:t>设立“税-银-企”服务保障区。</w:t>
      </w:r>
    </w:p>
    <w:p>
      <w:pPr>
        <w:spacing w:line="560" w:lineRule="exact"/>
        <w:ind w:firstLine="640" w:firstLineChars="200"/>
        <w:rPr>
          <w:rFonts w:eastAsia="仿宋_GB2312"/>
          <w:bCs/>
          <w:sz w:val="32"/>
          <w:szCs w:val="32"/>
        </w:rPr>
      </w:pPr>
      <w:r>
        <w:rPr>
          <w:rFonts w:eastAsia="仿宋_GB2312"/>
          <w:bCs/>
          <w:sz w:val="32"/>
          <w:szCs w:val="32"/>
        </w:rPr>
        <w:t>经开区功能区</w:t>
      </w:r>
      <w:r>
        <w:rPr>
          <w:rFonts w:eastAsia="仿宋_GB2312"/>
          <w:bCs/>
          <w:color w:val="000000"/>
          <w:sz w:val="32"/>
          <w:szCs w:val="32"/>
        </w:rPr>
        <w:t>设立了“税银E站”金融角暨纳税服务创新成果体验区</w:t>
      </w:r>
      <w:r>
        <w:rPr>
          <w:rFonts w:eastAsia="仿宋_GB2312"/>
          <w:bCs/>
          <w:color w:val="000000"/>
          <w:w w:val="98"/>
          <w:sz w:val="32"/>
          <w:szCs w:val="32"/>
        </w:rPr>
        <w:t>，开启了办税服务厅办理贷款业务新模式。</w:t>
      </w:r>
      <w:r>
        <w:rPr>
          <w:rFonts w:eastAsia="仿宋_GB2312"/>
          <w:bCs/>
          <w:w w:val="98"/>
          <w:sz w:val="32"/>
          <w:szCs w:val="32"/>
        </w:rPr>
        <w:t>“</w:t>
      </w:r>
      <w:r>
        <w:rPr>
          <w:rFonts w:eastAsia="仿宋_GB2312"/>
          <w:bCs/>
          <w:color w:val="000000"/>
          <w:w w:val="98"/>
          <w:sz w:val="32"/>
          <w:szCs w:val="32"/>
        </w:rPr>
        <w:t>税银E站</w:t>
      </w:r>
      <w:r>
        <w:rPr>
          <w:rFonts w:eastAsia="仿宋_GB2312"/>
          <w:bCs/>
          <w:w w:val="98"/>
          <w:sz w:val="32"/>
          <w:szCs w:val="32"/>
        </w:rPr>
        <w:t>”涵盖银税产品展台、客户体验机等，企业可在此直接获取“云税贷”等银行普惠金融产品准入条件及办理方法，通过现场客户体验机进行操作，完成普惠金融申请，实现账户业务预约、贷款额度试算、申请、签约、支用、还款等，打通服务小微企业的“最后一公里”。</w:t>
      </w:r>
    </w:p>
    <w:p>
      <w:pPr>
        <w:spacing w:line="560" w:lineRule="exact"/>
        <w:ind w:firstLine="640" w:firstLineChars="200"/>
        <w:rPr>
          <w:rFonts w:eastAsia="黑体"/>
          <w:bCs/>
          <w:sz w:val="32"/>
          <w:szCs w:val="32"/>
        </w:rPr>
      </w:pPr>
      <w:r>
        <w:rPr>
          <w:rFonts w:eastAsia="黑体"/>
          <w:bCs/>
          <w:sz w:val="32"/>
          <w:szCs w:val="32"/>
        </w:rPr>
        <w:t>二、实践效果</w:t>
      </w:r>
    </w:p>
    <w:p>
      <w:pPr>
        <w:spacing w:line="560" w:lineRule="exact"/>
        <w:ind w:firstLine="640" w:firstLineChars="200"/>
        <w:rPr>
          <w:rFonts w:eastAsia="仿宋_GB2312"/>
          <w:bCs/>
          <w:sz w:val="32"/>
          <w:szCs w:val="32"/>
        </w:rPr>
      </w:pPr>
      <w:r>
        <w:rPr>
          <w:rFonts w:eastAsia="仿宋_GB2312"/>
          <w:bCs/>
          <w:sz w:val="32"/>
          <w:szCs w:val="32"/>
        </w:rPr>
        <w:t>截至2019年9月，经开区功能区“税-银-企”深化合作的创新举措累计提供纯信用贷款超过1.6亿元，受惠企业超300余户，有效解决了区域内纳税小微企业融资难、融资贵、融资慢的问题。</w:t>
      </w:r>
    </w:p>
    <w:p>
      <w:pPr>
        <w:spacing w:line="560" w:lineRule="exact"/>
        <w:ind w:firstLine="643" w:firstLineChars="200"/>
        <w:rPr>
          <w:rFonts w:hint="eastAsia" w:eastAsia="楷体_GB2312"/>
          <w:b/>
          <w:bCs/>
          <w:sz w:val="32"/>
          <w:szCs w:val="32"/>
        </w:rPr>
      </w:pPr>
      <w:r>
        <w:rPr>
          <w:rFonts w:hint="eastAsia" w:eastAsia="楷体_GB2312"/>
          <w:b/>
          <w:bCs/>
          <w:sz w:val="32"/>
          <w:szCs w:val="32"/>
        </w:rPr>
        <w:t>（一）</w:t>
      </w:r>
      <w:r>
        <w:rPr>
          <w:rFonts w:eastAsia="楷体_GB2312"/>
          <w:b/>
          <w:bCs/>
          <w:sz w:val="32"/>
          <w:szCs w:val="32"/>
        </w:rPr>
        <w:t>开辟了新的融资通道</w:t>
      </w:r>
      <w:r>
        <w:rPr>
          <w:rFonts w:hint="eastAsia" w:eastAsia="楷体_GB2312"/>
          <w:b/>
          <w:bCs/>
          <w:sz w:val="32"/>
          <w:szCs w:val="32"/>
        </w:rPr>
        <w:t>。</w:t>
      </w:r>
    </w:p>
    <w:p>
      <w:pPr>
        <w:spacing w:line="560" w:lineRule="exact"/>
        <w:ind w:firstLine="640" w:firstLineChars="200"/>
        <w:rPr>
          <w:rFonts w:eastAsia="仿宋_GB2312"/>
          <w:bCs/>
          <w:sz w:val="32"/>
          <w:szCs w:val="32"/>
        </w:rPr>
      </w:pPr>
      <w:r>
        <w:rPr>
          <w:rFonts w:eastAsia="仿宋_GB2312"/>
          <w:bCs/>
          <w:sz w:val="32"/>
          <w:szCs w:val="32"/>
        </w:rPr>
        <w:t>改革前，小微企业由于缺少抵押物，融资方式少、成本高、难度大、周期长，难以获得急需的信贷支持；改革后，小微企业无需提供实体抵押物，也无需再提供财务报表、银行流水等资料，直接将企业和个人信用变为真金白银，金融机构也有了参考依据和授信“底气”，有效解决了小微企业贷款难以及金融机构不敢贷的问题，开辟了小微企业融资的新通道。</w:t>
      </w:r>
    </w:p>
    <w:p>
      <w:pPr>
        <w:spacing w:line="560" w:lineRule="exact"/>
        <w:ind w:firstLine="643" w:firstLineChars="200"/>
        <w:rPr>
          <w:rFonts w:hint="eastAsia" w:eastAsia="楷体_GB2312"/>
          <w:b/>
          <w:bCs/>
          <w:sz w:val="32"/>
          <w:szCs w:val="32"/>
        </w:rPr>
      </w:pPr>
      <w:r>
        <w:rPr>
          <w:rFonts w:hint="eastAsia" w:eastAsia="楷体_GB2312"/>
          <w:b/>
          <w:bCs/>
          <w:sz w:val="32"/>
          <w:szCs w:val="32"/>
        </w:rPr>
        <w:t>（二）</w:t>
      </w:r>
      <w:r>
        <w:rPr>
          <w:rFonts w:eastAsia="楷体_GB2312"/>
          <w:b/>
          <w:bCs/>
          <w:sz w:val="32"/>
          <w:szCs w:val="32"/>
        </w:rPr>
        <w:t>降低了企业融资成本</w:t>
      </w:r>
      <w:r>
        <w:rPr>
          <w:rFonts w:hint="eastAsia" w:eastAsia="楷体_GB2312"/>
          <w:b/>
          <w:bCs/>
          <w:sz w:val="32"/>
          <w:szCs w:val="32"/>
        </w:rPr>
        <w:t>。</w:t>
      </w:r>
    </w:p>
    <w:p>
      <w:pPr>
        <w:spacing w:line="560" w:lineRule="exact"/>
        <w:ind w:firstLine="640" w:firstLineChars="200"/>
        <w:rPr>
          <w:rFonts w:eastAsia="仿宋_GB2312"/>
          <w:bCs/>
          <w:sz w:val="32"/>
          <w:szCs w:val="32"/>
        </w:rPr>
      </w:pPr>
      <w:r>
        <w:rPr>
          <w:rFonts w:eastAsia="仿宋_GB2312"/>
          <w:bCs/>
          <w:sz w:val="32"/>
          <w:szCs w:val="32"/>
        </w:rPr>
        <w:t>改革前，企业在银行贷款，从获批到贷款到账至少需要1个月，一般一年期贷款本金实际使用周期仅10个月，且利率一般较基准上浮50%。改革后，企业仅需开立对公账户并签约网银或手机银行，实现全流程线上操作，缩短办理时间90%以上；一年期贷款本金实际使用周期一年，且在贷款额度和期限内可循环使用，按照实际使用资金及天数计息，利率基准的上调幅度降至15%左右，降低企业融资成本。</w:t>
      </w:r>
    </w:p>
    <w:p>
      <w:pPr>
        <w:spacing w:line="560" w:lineRule="exact"/>
        <w:ind w:firstLine="643" w:firstLineChars="200"/>
        <w:rPr>
          <w:rFonts w:hint="eastAsia" w:eastAsia="楷体_GB2312"/>
          <w:b/>
          <w:bCs/>
          <w:sz w:val="32"/>
          <w:szCs w:val="32"/>
        </w:rPr>
      </w:pPr>
      <w:r>
        <w:rPr>
          <w:rFonts w:hint="eastAsia" w:eastAsia="楷体_GB2312"/>
          <w:b/>
          <w:bCs/>
          <w:sz w:val="32"/>
          <w:szCs w:val="32"/>
        </w:rPr>
        <w:t>（三）促</w:t>
      </w:r>
      <w:r>
        <w:rPr>
          <w:rFonts w:eastAsia="楷体_GB2312"/>
          <w:b/>
          <w:bCs/>
          <w:sz w:val="32"/>
          <w:szCs w:val="32"/>
        </w:rPr>
        <w:t>进了社会诚信建设</w:t>
      </w:r>
      <w:r>
        <w:rPr>
          <w:rFonts w:hint="eastAsia" w:eastAsia="楷体_GB2312"/>
          <w:b/>
          <w:bCs/>
          <w:sz w:val="32"/>
          <w:szCs w:val="32"/>
        </w:rPr>
        <w:t>。</w:t>
      </w:r>
    </w:p>
    <w:p>
      <w:pPr>
        <w:spacing w:line="560" w:lineRule="exact"/>
        <w:ind w:firstLine="640" w:firstLineChars="200"/>
        <w:rPr>
          <w:rFonts w:eastAsia="仿宋_GB2312"/>
          <w:bCs/>
          <w:sz w:val="32"/>
          <w:szCs w:val="32"/>
        </w:rPr>
      </w:pPr>
      <w:r>
        <w:rPr>
          <w:rFonts w:eastAsia="仿宋_GB2312"/>
          <w:bCs/>
          <w:color w:val="000000"/>
          <w:sz w:val="32"/>
          <w:szCs w:val="32"/>
        </w:rPr>
        <w:t>开展</w:t>
      </w:r>
      <w:r>
        <w:rPr>
          <w:rFonts w:eastAsia="仿宋_GB2312"/>
          <w:bCs/>
          <w:sz w:val="32"/>
          <w:szCs w:val="32"/>
        </w:rPr>
        <w:t>“税-银-企”</w:t>
      </w:r>
      <w:r>
        <w:rPr>
          <w:rFonts w:eastAsia="仿宋_GB2312"/>
          <w:bCs/>
          <w:color w:val="000000"/>
          <w:sz w:val="32"/>
          <w:szCs w:val="32"/>
        </w:rPr>
        <w:t>三方互动合作，</w:t>
      </w:r>
      <w:r>
        <w:rPr>
          <w:rFonts w:eastAsia="仿宋_GB2312"/>
          <w:bCs/>
          <w:sz w:val="32"/>
          <w:szCs w:val="32"/>
        </w:rPr>
        <w:t>使</w:t>
      </w:r>
      <w:r>
        <w:rPr>
          <w:rFonts w:eastAsia="仿宋_GB2312"/>
          <w:bCs/>
          <w:color w:val="000000"/>
          <w:sz w:val="32"/>
          <w:szCs w:val="32"/>
        </w:rPr>
        <w:t>纳税数据逐步与银行系统、社会征信系统的信息对接，</w:t>
      </w:r>
      <w:r>
        <w:rPr>
          <w:rFonts w:eastAsia="仿宋_GB2312"/>
          <w:bCs/>
          <w:sz w:val="32"/>
          <w:szCs w:val="32"/>
        </w:rPr>
        <w:t>打通了纳税和融资两个领域，这</w:t>
      </w:r>
      <w:r>
        <w:rPr>
          <w:rFonts w:eastAsia="仿宋_GB2312"/>
          <w:bCs/>
          <w:color w:val="000000"/>
          <w:sz w:val="32"/>
          <w:szCs w:val="32"/>
        </w:rPr>
        <w:t>有利于增强小微企业活力，也有利于破解金融机构风险防控难题，还有利于提高企业诚信纳税意识，推进社会信用体系建设，促进诚信受益，引导更多的纳税人依法经营、诚信纳税，对于依法治税、社会信用体系建设具有重要意义。</w:t>
      </w:r>
    </w:p>
    <w:p>
      <w:pPr>
        <w:spacing w:line="560" w:lineRule="exact"/>
        <w:ind w:firstLine="640" w:firstLineChars="200"/>
        <w:rPr>
          <w:rFonts w:eastAsia="黑体"/>
          <w:bCs/>
          <w:sz w:val="32"/>
          <w:szCs w:val="32"/>
        </w:rPr>
      </w:pPr>
      <w:r>
        <w:rPr>
          <w:rFonts w:eastAsia="黑体"/>
          <w:bCs/>
          <w:sz w:val="32"/>
          <w:szCs w:val="32"/>
        </w:rPr>
        <w:t>三、下一步工作思路</w:t>
      </w:r>
    </w:p>
    <w:p>
      <w:pPr>
        <w:spacing w:line="560" w:lineRule="exact"/>
        <w:ind w:firstLine="640" w:firstLineChars="200"/>
        <w:jc w:val="left"/>
        <w:rPr>
          <w:rFonts w:eastAsia="仿宋_GB2312"/>
          <w:sz w:val="32"/>
          <w:szCs w:val="32"/>
        </w:rPr>
      </w:pPr>
      <w:r>
        <w:rPr>
          <w:rFonts w:eastAsia="仿宋_GB2312"/>
          <w:bCs/>
          <w:sz w:val="32"/>
          <w:szCs w:val="32"/>
        </w:rPr>
        <w:t>经开区功能区</w:t>
      </w:r>
      <w:r>
        <w:rPr>
          <w:rFonts w:eastAsia="仿宋_GB2312"/>
          <w:sz w:val="32"/>
          <w:szCs w:val="32"/>
        </w:rPr>
        <w:t>将继续加强推广宣传，定期在税务大厅进行“纳税服务小讲堂”之“云税贷”的集中推介和讲解，扩大企业覆盖面。进一步总结经验，细化和完善操作流程，不断优化升级合作新模式，降低企业融资成本，提高企业融资效率。</w:t>
      </w:r>
    </w:p>
    <w:p>
      <w:pPr>
        <w:spacing w:line="594" w:lineRule="exact"/>
        <w:rPr>
          <w:rFonts w:eastAsia="黑体"/>
          <w:sz w:val="32"/>
          <w:szCs w:val="32"/>
        </w:rPr>
      </w:pPr>
      <w:r>
        <w:rPr>
          <w:rFonts w:eastAsia="黑体"/>
          <w:sz w:val="32"/>
          <w:szCs w:val="32"/>
        </w:rPr>
        <w:br w:type="page"/>
      </w:r>
      <w:r>
        <w:rPr>
          <w:rFonts w:hint="eastAsia" w:ascii="黑体" w:hAnsi="黑体" w:eastAsia="黑体" w:cs="黑体"/>
          <w:sz w:val="32"/>
          <w:szCs w:val="32"/>
        </w:rPr>
        <w:t>案例7</w:t>
      </w:r>
    </w:p>
    <w:p>
      <w:pPr>
        <w:snapToGrid w:val="0"/>
        <w:spacing w:line="594" w:lineRule="exact"/>
        <w:jc w:val="center"/>
        <w:rPr>
          <w:rFonts w:eastAsia="方正小标宋简体"/>
          <w:sz w:val="44"/>
          <w:szCs w:val="44"/>
        </w:rPr>
      </w:pPr>
      <w:bookmarkStart w:id="7" w:name="互联网文物教育新模式"/>
    </w:p>
    <w:p>
      <w:pPr>
        <w:snapToGrid w:val="0"/>
        <w:spacing w:line="594" w:lineRule="exact"/>
        <w:jc w:val="center"/>
        <w:rPr>
          <w:rFonts w:eastAsia="方正小标宋_GBK"/>
          <w:sz w:val="44"/>
          <w:szCs w:val="44"/>
        </w:rPr>
      </w:pPr>
      <w:r>
        <w:rPr>
          <w:rFonts w:hint="eastAsia" w:ascii="方正小标宋简体" w:hAnsi="方正小标宋简体" w:eastAsia="方正小标宋简体" w:cs="方正小标宋简体"/>
          <w:sz w:val="44"/>
          <w:szCs w:val="44"/>
        </w:rPr>
        <w:fldChar w:fldCharType="begin"/>
      </w:r>
      <w:r>
        <w:rPr>
          <w:rFonts w:hint="eastAsia" w:ascii="方正小标宋简体" w:hAnsi="方正小标宋简体" w:eastAsia="方正小标宋简体" w:cs="方正小标宋简体"/>
          <w:sz w:val="44"/>
          <w:szCs w:val="44"/>
        </w:rPr>
        <w:instrText xml:space="preserve"> HYPERLINK \l "目录" </w:instrText>
      </w:r>
      <w:r>
        <w:rPr>
          <w:rFonts w:hint="eastAsia" w:ascii="方正小标宋简体" w:hAnsi="方正小标宋简体" w:eastAsia="方正小标宋简体" w:cs="方正小标宋简体"/>
          <w:sz w:val="44"/>
          <w:szCs w:val="44"/>
        </w:rPr>
        <w:fldChar w:fldCharType="separate"/>
      </w:r>
      <w:r>
        <w:rPr>
          <w:rStyle w:val="16"/>
          <w:rFonts w:hint="eastAsia" w:ascii="方正小标宋简体" w:hAnsi="方正小标宋简体" w:eastAsia="方正小标宋简体" w:cs="方正小标宋简体"/>
          <w:color w:val="auto"/>
          <w:sz w:val="44"/>
          <w:szCs w:val="44"/>
          <w:u w:val="none"/>
        </w:rPr>
        <w:t>“互联网+”文物教育新模式</w:t>
      </w:r>
      <w:bookmarkEnd w:id="7"/>
      <w:r>
        <w:rPr>
          <w:rFonts w:hint="eastAsia" w:ascii="方正小标宋简体" w:hAnsi="方正小标宋简体" w:eastAsia="方正小标宋简体" w:cs="方正小标宋简体"/>
          <w:sz w:val="44"/>
          <w:szCs w:val="44"/>
        </w:rPr>
        <w:fldChar w:fldCharType="end"/>
      </w:r>
    </w:p>
    <w:p>
      <w:pPr>
        <w:spacing w:line="594" w:lineRule="exact"/>
        <w:jc w:val="center"/>
        <w:rPr>
          <w:rFonts w:eastAsia="楷体_GB2312"/>
          <w:sz w:val="32"/>
          <w:szCs w:val="32"/>
        </w:rPr>
      </w:pPr>
      <w:r>
        <w:rPr>
          <w:rFonts w:eastAsia="楷体_GB2312"/>
          <w:sz w:val="32"/>
          <w:szCs w:val="32"/>
        </w:rPr>
        <w:t>（自贸试验区西咸新区沣东新城功能区提供）</w:t>
      </w:r>
    </w:p>
    <w:p>
      <w:pPr>
        <w:spacing w:line="594" w:lineRule="exact"/>
        <w:rPr>
          <w:rFonts w:eastAsia="仿宋_GB2312"/>
          <w:sz w:val="32"/>
          <w:szCs w:val="32"/>
        </w:rPr>
      </w:pPr>
    </w:p>
    <w:p>
      <w:pPr>
        <w:adjustRightInd w:val="0"/>
        <w:snapToGrid w:val="0"/>
        <w:spacing w:line="560" w:lineRule="exact"/>
        <w:ind w:firstLine="640" w:firstLineChars="200"/>
        <w:rPr>
          <w:rFonts w:eastAsia="仿宋_GB2312"/>
          <w:sz w:val="32"/>
          <w:szCs w:val="32"/>
        </w:rPr>
      </w:pPr>
      <w:r>
        <w:rPr>
          <w:rFonts w:eastAsia="仿宋_GB2312"/>
          <w:sz w:val="32"/>
          <w:szCs w:val="32"/>
        </w:rPr>
        <w:t>为进一步助推中国传统文化走出去，沣东新城功能区联合省文物局、中国移动、新昆互动文化科技等单位创建了全国首个以“一个工程、两个库、三大终端、四个系统、五类内容”五大核心要素为支撑的“互联网+文物教育”平台，形成集信息发布、文物信息资源开放、智慧服务能力合一的跨时空、跨地域的中国文化宣传平台，促进了“一带一路”沿线国家和国内民众对我国传统文化的认知与了解。</w:t>
      </w:r>
    </w:p>
    <w:p>
      <w:pPr>
        <w:adjustRightInd w:val="0"/>
        <w:snapToGrid w:val="0"/>
        <w:spacing w:line="560" w:lineRule="exact"/>
        <w:ind w:firstLine="640" w:firstLineChars="200"/>
        <w:rPr>
          <w:rFonts w:eastAsia="黑体"/>
          <w:sz w:val="32"/>
          <w:szCs w:val="32"/>
        </w:rPr>
      </w:pPr>
      <w:r>
        <w:rPr>
          <w:rFonts w:eastAsia="黑体"/>
          <w:sz w:val="32"/>
          <w:szCs w:val="32"/>
        </w:rPr>
        <w:t>一、主要做法</w:t>
      </w:r>
    </w:p>
    <w:p>
      <w:pPr>
        <w:adjustRightInd w:val="0"/>
        <w:snapToGrid w:val="0"/>
        <w:spacing w:line="560" w:lineRule="exact"/>
        <w:ind w:firstLine="643" w:firstLineChars="200"/>
        <w:rPr>
          <w:rFonts w:eastAsia="楷体_GB2312"/>
          <w:b/>
          <w:sz w:val="32"/>
          <w:szCs w:val="32"/>
        </w:rPr>
      </w:pPr>
      <w:r>
        <w:rPr>
          <w:rFonts w:eastAsia="楷体_GB2312"/>
          <w:b/>
          <w:sz w:val="32"/>
          <w:szCs w:val="32"/>
        </w:rPr>
        <w:t>（一）建立多维矩阵传播体系。</w:t>
      </w:r>
    </w:p>
    <w:p>
      <w:pPr>
        <w:adjustRightInd w:val="0"/>
        <w:snapToGrid w:val="0"/>
        <w:spacing w:line="560" w:lineRule="exact"/>
        <w:ind w:firstLine="640" w:firstLineChars="200"/>
        <w:rPr>
          <w:rFonts w:eastAsia="仿宋_GB2312"/>
          <w:sz w:val="32"/>
          <w:szCs w:val="32"/>
        </w:rPr>
      </w:pPr>
      <w:r>
        <w:rPr>
          <w:rFonts w:eastAsia="仿宋_GB2312"/>
          <w:sz w:val="32"/>
          <w:szCs w:val="32"/>
        </w:rPr>
        <w:t>“互联网+文物教育”平台对各类博物馆文物资源实现数字化集成，搭建了“数字文物云”，开设了互联网文物教育频道，实现了中国传统文化及文物的全球展示；同时，依托云平台建立了文物数字化采集、资源管理、内容发布等核心功能及文物图书销售、动漫、AR/VR、文创产品展示等延伸功能，使得文物展示突破了时空与物理界限，更具生命力和活力，有效满足全球特别是“一带一路”沿线国家对中国传统文化的认知需求。</w:t>
      </w:r>
    </w:p>
    <w:p>
      <w:pPr>
        <w:adjustRightInd w:val="0"/>
        <w:snapToGrid w:val="0"/>
        <w:spacing w:line="560" w:lineRule="exact"/>
        <w:rPr>
          <w:rFonts w:eastAsia="黑体"/>
          <w:color w:val="000000"/>
          <w:kern w:val="0"/>
          <w:sz w:val="32"/>
          <w:szCs w:val="32"/>
        </w:rPr>
      </w:pPr>
      <w:r>
        <w:rPr>
          <w:rFonts w:eastAsia="仿宋_GB2312"/>
          <w:sz w:val="32"/>
          <w:szCs w:val="32"/>
        </w:rPr>
        <w:drawing>
          <wp:anchor distT="0" distB="0" distL="114300" distR="114300" simplePos="0" relativeHeight="251752448" behindDoc="0" locked="0" layoutInCell="1" allowOverlap="1">
            <wp:simplePos x="0" y="0"/>
            <wp:positionH relativeFrom="column">
              <wp:posOffset>500380</wp:posOffset>
            </wp:positionH>
            <wp:positionV relativeFrom="paragraph">
              <wp:posOffset>44450</wp:posOffset>
            </wp:positionV>
            <wp:extent cx="4381500" cy="2857500"/>
            <wp:effectExtent l="0" t="0" r="7620" b="7620"/>
            <wp:wrapSquare wrapText="bothSides"/>
            <wp:docPr id="4" name="图片 1" descr="C:\Users\FDXC1\AppData\Local\Temp\15505485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C:\Users\FDXC1\AppData\Local\Temp\1550548501(1).png"/>
                    <pic:cNvPicPr>
                      <a:picLocks noChangeAspect="1"/>
                    </pic:cNvPicPr>
                  </pic:nvPicPr>
                  <pic:blipFill>
                    <a:blip r:embed="rId10"/>
                    <a:stretch>
                      <a:fillRect/>
                    </a:stretch>
                  </pic:blipFill>
                  <pic:spPr>
                    <a:xfrm>
                      <a:off x="0" y="0"/>
                      <a:ext cx="4381500" cy="2857500"/>
                    </a:xfrm>
                    <a:prstGeom prst="rect">
                      <a:avLst/>
                    </a:prstGeom>
                    <a:noFill/>
                    <a:ln>
                      <a:noFill/>
                    </a:ln>
                  </pic:spPr>
                </pic:pic>
              </a:graphicData>
            </a:graphic>
          </wp:anchor>
        </w:drawing>
      </w:r>
    </w:p>
    <w:p>
      <w:pPr>
        <w:adjustRightInd w:val="0"/>
        <w:snapToGrid w:val="0"/>
        <w:spacing w:line="560" w:lineRule="exact"/>
        <w:ind w:firstLine="640" w:firstLineChars="200"/>
        <w:rPr>
          <w:rFonts w:eastAsia="黑体"/>
          <w:color w:val="000000"/>
          <w:kern w:val="0"/>
          <w:sz w:val="32"/>
          <w:szCs w:val="32"/>
        </w:rPr>
      </w:pPr>
    </w:p>
    <w:p>
      <w:pPr>
        <w:adjustRightInd w:val="0"/>
        <w:snapToGrid w:val="0"/>
        <w:spacing w:line="560" w:lineRule="exact"/>
        <w:rPr>
          <w:rFonts w:eastAsia="仿宋_GB2312"/>
          <w:sz w:val="32"/>
          <w:szCs w:val="32"/>
        </w:rPr>
      </w:pPr>
    </w:p>
    <w:p>
      <w:pPr>
        <w:numPr>
          <w:ilvl w:val="0"/>
          <w:numId w:val="5"/>
        </w:numPr>
        <w:adjustRightInd w:val="0"/>
        <w:snapToGrid w:val="0"/>
        <w:spacing w:line="560" w:lineRule="exact"/>
        <w:ind w:firstLine="643" w:firstLineChars="200"/>
        <w:rPr>
          <w:rFonts w:eastAsia="楷体_GB2312"/>
          <w:b/>
          <w:sz w:val="32"/>
          <w:szCs w:val="32"/>
        </w:rPr>
      </w:pPr>
    </w:p>
    <w:p>
      <w:pPr>
        <w:numPr>
          <w:ilvl w:val="0"/>
          <w:numId w:val="5"/>
        </w:numPr>
        <w:adjustRightInd w:val="0"/>
        <w:snapToGrid w:val="0"/>
        <w:spacing w:line="560" w:lineRule="exact"/>
        <w:ind w:firstLine="643" w:firstLineChars="200"/>
        <w:rPr>
          <w:rFonts w:eastAsia="楷体_GB2312"/>
          <w:b/>
          <w:sz w:val="32"/>
          <w:szCs w:val="32"/>
        </w:rPr>
      </w:pPr>
    </w:p>
    <w:p>
      <w:pPr>
        <w:numPr>
          <w:ilvl w:val="0"/>
          <w:numId w:val="5"/>
        </w:numPr>
        <w:adjustRightInd w:val="0"/>
        <w:snapToGrid w:val="0"/>
        <w:spacing w:line="560" w:lineRule="exact"/>
        <w:ind w:firstLine="643" w:firstLineChars="200"/>
        <w:rPr>
          <w:rFonts w:eastAsia="楷体_GB2312"/>
          <w:b/>
          <w:sz w:val="32"/>
          <w:szCs w:val="32"/>
        </w:rPr>
      </w:pPr>
    </w:p>
    <w:p>
      <w:pPr>
        <w:adjustRightInd w:val="0"/>
        <w:snapToGrid w:val="0"/>
        <w:spacing w:line="560" w:lineRule="exact"/>
        <w:ind w:left="420" w:leftChars="200"/>
        <w:rPr>
          <w:rFonts w:hint="eastAsia" w:eastAsia="楷体_GB2312"/>
          <w:b/>
          <w:sz w:val="32"/>
          <w:szCs w:val="32"/>
        </w:rPr>
      </w:pPr>
    </w:p>
    <w:p>
      <w:pPr>
        <w:adjustRightInd w:val="0"/>
        <w:snapToGrid w:val="0"/>
        <w:spacing w:line="560" w:lineRule="exact"/>
        <w:ind w:left="420" w:leftChars="200"/>
        <w:rPr>
          <w:rFonts w:hint="eastAsia" w:eastAsia="楷体_GB2312"/>
          <w:b/>
          <w:sz w:val="32"/>
          <w:szCs w:val="32"/>
        </w:rPr>
      </w:pPr>
    </w:p>
    <w:p>
      <w:pPr>
        <w:adjustRightInd w:val="0"/>
        <w:snapToGrid w:val="0"/>
        <w:spacing w:line="560" w:lineRule="exact"/>
        <w:ind w:left="420" w:leftChars="200"/>
        <w:rPr>
          <w:rFonts w:hint="eastAsia" w:eastAsia="楷体_GB2312"/>
          <w:b/>
          <w:sz w:val="32"/>
          <w:szCs w:val="32"/>
        </w:rPr>
      </w:pPr>
    </w:p>
    <w:p>
      <w:pPr>
        <w:adjustRightInd w:val="0"/>
        <w:snapToGrid w:val="0"/>
        <w:spacing w:line="560" w:lineRule="exact"/>
        <w:ind w:firstLine="643" w:firstLineChars="200"/>
        <w:rPr>
          <w:rFonts w:eastAsia="楷体_GB2312"/>
          <w:b/>
          <w:sz w:val="32"/>
          <w:szCs w:val="32"/>
        </w:rPr>
      </w:pPr>
      <w:r>
        <w:rPr>
          <w:rFonts w:hint="eastAsia" w:eastAsia="楷体_GB2312"/>
          <w:b/>
          <w:sz w:val="32"/>
          <w:szCs w:val="32"/>
        </w:rPr>
        <w:t>（二）</w:t>
      </w:r>
      <w:r>
        <w:rPr>
          <w:rFonts w:eastAsia="楷体_GB2312"/>
          <w:b/>
          <w:sz w:val="32"/>
          <w:szCs w:val="32"/>
        </w:rPr>
        <w:t>创新文物感知内容及形式。</w:t>
      </w:r>
    </w:p>
    <w:p>
      <w:pPr>
        <w:adjustRightInd w:val="0"/>
        <w:snapToGrid w:val="0"/>
        <w:spacing w:line="560" w:lineRule="exact"/>
        <w:ind w:firstLine="640" w:firstLineChars="200"/>
        <w:rPr>
          <w:rFonts w:eastAsia="仿宋_GB2312"/>
          <w:sz w:val="32"/>
          <w:szCs w:val="32"/>
        </w:rPr>
      </w:pPr>
      <w:r>
        <w:rPr>
          <w:rFonts w:eastAsia="仿宋_GB2312"/>
          <w:sz w:val="32"/>
          <w:szCs w:val="32"/>
        </w:rPr>
        <w:t>充分运用互联网、大数据、云计算、人工智能等信息技术，推动文物与教育领域的融合发展，先后开发数字化、网络化的文物教育课程，利用动漫、游戏、VR/AR 技术、3D扫描模型等方式，对各博物馆珍贵文物实现数字化采集，并以虚拟历史场景、三维文物展示等新形式、新技术，为广大受众提供文物全息欣赏、虚拟触摸和历史事件沉浸式体验。</w:t>
      </w:r>
    </w:p>
    <w:p>
      <w:pPr>
        <w:adjustRightInd w:val="0"/>
        <w:snapToGrid w:val="0"/>
        <w:spacing w:line="560" w:lineRule="exact"/>
        <w:ind w:firstLine="643" w:firstLineChars="200"/>
        <w:rPr>
          <w:rFonts w:eastAsia="楷体_GB2312"/>
          <w:b/>
          <w:sz w:val="32"/>
          <w:szCs w:val="32"/>
        </w:rPr>
      </w:pPr>
      <w:r>
        <w:rPr>
          <w:rFonts w:hint="eastAsia" w:eastAsia="楷体_GB2312"/>
          <w:b/>
          <w:sz w:val="32"/>
          <w:szCs w:val="32"/>
        </w:rPr>
        <w:t>（三）</w:t>
      </w:r>
      <w:r>
        <w:rPr>
          <w:rFonts w:eastAsia="楷体_GB2312"/>
          <w:b/>
          <w:sz w:val="32"/>
          <w:szCs w:val="32"/>
        </w:rPr>
        <w:t>同频共振实现资源有效集成。</w:t>
      </w:r>
    </w:p>
    <w:p>
      <w:pPr>
        <w:adjustRightInd w:val="0"/>
        <w:snapToGrid w:val="0"/>
        <w:spacing w:line="560" w:lineRule="exact"/>
        <w:ind w:firstLine="640" w:firstLineChars="200"/>
        <w:rPr>
          <w:rFonts w:eastAsia="仿宋_GB2312"/>
          <w:sz w:val="32"/>
          <w:szCs w:val="32"/>
        </w:rPr>
      </w:pPr>
      <w:r>
        <w:rPr>
          <w:rFonts w:eastAsia="仿宋_GB2312"/>
          <w:sz w:val="32"/>
          <w:szCs w:val="32"/>
        </w:rPr>
        <w:t>沣东新城功能区充分发挥政府引导作用，在省文物局的支持下，成立了陕西省博物馆教育联盟，对各博物馆文物资源进行数字化展示、开设录制文物教育课程、举办历史文化动漫游戏大赛、研发文创产品等方式，初步实现了文物教育资源、内容、产品、渠道、消费全链条整合，整体性、系统性的盘活了文物资源，提升了文物展示、教育的普惠性功能。</w:t>
      </w:r>
    </w:p>
    <w:p>
      <w:pPr>
        <w:adjustRightInd w:val="0"/>
        <w:snapToGrid w:val="0"/>
        <w:spacing w:line="560" w:lineRule="exact"/>
        <w:ind w:firstLine="643" w:firstLineChars="200"/>
        <w:rPr>
          <w:rFonts w:eastAsia="楷体_GB2312"/>
          <w:b/>
          <w:sz w:val="32"/>
          <w:szCs w:val="32"/>
        </w:rPr>
      </w:pPr>
      <w:r>
        <w:rPr>
          <w:rFonts w:hint="eastAsia" w:eastAsia="楷体_GB2312"/>
          <w:b/>
          <w:sz w:val="32"/>
          <w:szCs w:val="32"/>
        </w:rPr>
        <w:t>（四）</w:t>
      </w:r>
      <w:r>
        <w:rPr>
          <w:rFonts w:eastAsia="楷体_GB2312"/>
          <w:b/>
          <w:sz w:val="32"/>
          <w:szCs w:val="32"/>
        </w:rPr>
        <w:t>积极开展文物文化跨国交流。</w:t>
      </w:r>
    </w:p>
    <w:p>
      <w:pPr>
        <w:adjustRightInd w:val="0"/>
        <w:snapToGrid w:val="0"/>
        <w:spacing w:line="560" w:lineRule="exact"/>
        <w:ind w:firstLine="640" w:firstLineChars="200"/>
        <w:rPr>
          <w:rFonts w:eastAsia="仿宋_GB2312"/>
          <w:sz w:val="32"/>
          <w:szCs w:val="32"/>
        </w:rPr>
      </w:pPr>
      <w:r>
        <w:rPr>
          <w:rFonts w:eastAsia="仿宋_GB2312"/>
          <w:sz w:val="32"/>
          <w:szCs w:val="32"/>
        </w:rPr>
        <w:t>依托“丝博会”等平台，与“一带一路”沿线国家积极开展文物展览、技术合作、博物馆数字化教育及展示等文化交流合作，先后承办了“一带一路”沿线国家文化遗产保护交流合作论坛、“丝绸之路文化遗产保护利用科技合作论坛暨展览”,并赴境外国家和港澳台地区举办文物文化交流，推介“数字文物云”平台与中国文化。</w:t>
      </w:r>
    </w:p>
    <w:p>
      <w:pPr>
        <w:adjustRightInd w:val="0"/>
        <w:snapToGrid w:val="0"/>
        <w:spacing w:line="560" w:lineRule="exact"/>
        <w:ind w:firstLine="640" w:firstLineChars="200"/>
        <w:rPr>
          <w:rFonts w:eastAsia="黑体"/>
          <w:sz w:val="32"/>
          <w:szCs w:val="32"/>
          <w:lang w:val="en-GB"/>
        </w:rPr>
      </w:pPr>
      <w:r>
        <w:rPr>
          <w:rFonts w:eastAsia="黑体"/>
          <w:sz w:val="32"/>
          <w:szCs w:val="32"/>
          <w:lang w:val="en-GB"/>
        </w:rPr>
        <w:t>二、实践效果</w:t>
      </w:r>
    </w:p>
    <w:p>
      <w:pPr>
        <w:adjustRightInd w:val="0"/>
        <w:snapToGrid w:val="0"/>
        <w:spacing w:line="560" w:lineRule="exact"/>
        <w:ind w:firstLine="643" w:firstLineChars="200"/>
        <w:rPr>
          <w:rFonts w:eastAsia="楷体_GB2312"/>
          <w:b/>
          <w:sz w:val="32"/>
          <w:szCs w:val="32"/>
        </w:rPr>
      </w:pPr>
      <w:r>
        <w:rPr>
          <w:rFonts w:eastAsia="楷体_GB2312"/>
          <w:b/>
          <w:sz w:val="32"/>
          <w:szCs w:val="32"/>
        </w:rPr>
        <w:t>（一）有利于全省文物资源整合。</w:t>
      </w:r>
    </w:p>
    <w:p>
      <w:pPr>
        <w:adjustRightInd w:val="0"/>
        <w:snapToGrid w:val="0"/>
        <w:spacing w:line="560" w:lineRule="exact"/>
        <w:ind w:firstLine="640" w:firstLineChars="200"/>
        <w:rPr>
          <w:rFonts w:eastAsia="仿宋_GB2312"/>
          <w:sz w:val="32"/>
          <w:szCs w:val="32"/>
        </w:rPr>
      </w:pPr>
      <w:r>
        <w:rPr>
          <w:rFonts w:eastAsia="仿宋_GB2312"/>
          <w:sz w:val="32"/>
          <w:szCs w:val="32"/>
        </w:rPr>
        <w:t>以习近平总书记关于“一个博物院就是一所大学校”讲话为指引，在省文物局的支持下，通过成立陕西省博物馆教育联盟等形式，对各博物馆文物数字化资源实现了整合。“互联网+文物教育”平台自2018年5月18日启动至今，已收录了全省21家博物馆3万余件可移动文物大数据、上千件3D数字化文物资源。</w:t>
      </w:r>
    </w:p>
    <w:p>
      <w:pPr>
        <w:adjustRightInd w:val="0"/>
        <w:snapToGrid w:val="0"/>
        <w:spacing w:line="560" w:lineRule="exact"/>
        <w:ind w:firstLine="643" w:firstLineChars="200"/>
        <w:rPr>
          <w:rFonts w:eastAsia="楷体_GB2312"/>
          <w:b/>
          <w:sz w:val="32"/>
          <w:szCs w:val="32"/>
        </w:rPr>
      </w:pPr>
      <w:r>
        <w:rPr>
          <w:rFonts w:eastAsia="楷体_GB2312"/>
          <w:b/>
          <w:sz w:val="32"/>
          <w:szCs w:val="32"/>
        </w:rPr>
        <w:t>（二）有利于普及</w:t>
      </w:r>
      <w:r>
        <w:rPr>
          <w:rFonts w:hint="eastAsia" w:eastAsia="楷体_GB2312"/>
          <w:b/>
          <w:sz w:val="32"/>
          <w:szCs w:val="32"/>
        </w:rPr>
        <w:t>国民文物</w:t>
      </w:r>
      <w:r>
        <w:rPr>
          <w:rFonts w:eastAsia="楷体_GB2312"/>
          <w:b/>
          <w:sz w:val="32"/>
          <w:szCs w:val="32"/>
        </w:rPr>
        <w:t>教育。</w:t>
      </w:r>
    </w:p>
    <w:p>
      <w:pPr>
        <w:adjustRightInd w:val="0"/>
        <w:snapToGrid w:val="0"/>
        <w:spacing w:line="560" w:lineRule="exact"/>
        <w:ind w:firstLine="640" w:firstLineChars="200"/>
        <w:rPr>
          <w:rFonts w:eastAsia="仿宋_GB2312"/>
          <w:sz w:val="32"/>
          <w:szCs w:val="32"/>
        </w:rPr>
      </w:pPr>
      <w:r>
        <w:rPr>
          <w:rFonts w:eastAsia="仿宋_GB2312"/>
          <w:sz w:val="32"/>
          <w:szCs w:val="32"/>
        </w:rPr>
        <w:t>平台共有文物数字化教育内容1.45万条，课程700余小时，举办原创性的线下活动270场。平台终端用户已经突破300万，其中境外用户约20万，日均活跃用户4.5万，日均在线时长达35.2小时，平台的社会效应已经逐步显现。</w:t>
      </w:r>
    </w:p>
    <w:p>
      <w:pPr>
        <w:adjustRightInd w:val="0"/>
        <w:snapToGrid w:val="0"/>
        <w:spacing w:line="560" w:lineRule="exact"/>
        <w:ind w:firstLine="643" w:firstLineChars="200"/>
        <w:rPr>
          <w:rFonts w:eastAsia="楷体_GB2312"/>
          <w:b/>
          <w:sz w:val="32"/>
          <w:szCs w:val="32"/>
        </w:rPr>
      </w:pPr>
      <w:r>
        <w:rPr>
          <w:rFonts w:eastAsia="楷体_GB2312"/>
          <w:b/>
          <w:sz w:val="32"/>
          <w:szCs w:val="32"/>
        </w:rPr>
        <w:t>（三）有利于推动文物文化交流。</w:t>
      </w:r>
    </w:p>
    <w:p>
      <w:pPr>
        <w:adjustRightInd w:val="0"/>
        <w:snapToGrid w:val="0"/>
        <w:spacing w:line="560" w:lineRule="exact"/>
        <w:ind w:firstLine="640" w:firstLineChars="200"/>
        <w:rPr>
          <w:rFonts w:eastAsia="仿宋_GB2312"/>
          <w:sz w:val="32"/>
          <w:szCs w:val="32"/>
        </w:rPr>
      </w:pPr>
      <w:r>
        <w:rPr>
          <w:rFonts w:eastAsia="仿宋_GB2312"/>
          <w:sz w:val="32"/>
          <w:szCs w:val="32"/>
        </w:rPr>
        <w:t>通过在境外举办文化文物展览、世博会“陕西周”等活动，推介“互联网+文物教育”平台，并与丝路沿线国家博物馆建立了双向互动机制，将文化走出去推向纵深。“互联网+文物教育”平台已入选国家文物局2018年度“互联网+中华文明”示范项目库，并获得2018年度陕西省宣传思想文化工作创新奖一等奖。</w:t>
      </w:r>
    </w:p>
    <w:p>
      <w:pPr>
        <w:adjustRightInd w:val="0"/>
        <w:snapToGrid w:val="0"/>
        <w:spacing w:line="560" w:lineRule="exact"/>
        <w:ind w:firstLine="640" w:firstLineChars="200"/>
        <w:rPr>
          <w:rFonts w:eastAsia="黑体"/>
          <w:sz w:val="32"/>
          <w:szCs w:val="32"/>
        </w:rPr>
      </w:pPr>
      <w:r>
        <w:rPr>
          <w:rFonts w:eastAsia="黑体"/>
          <w:sz w:val="32"/>
          <w:szCs w:val="32"/>
        </w:rPr>
        <w:t>三、下一步工作思路</w:t>
      </w:r>
    </w:p>
    <w:p>
      <w:pPr>
        <w:adjustRightInd w:val="0"/>
        <w:snapToGrid w:val="0"/>
        <w:spacing w:line="560" w:lineRule="exact"/>
        <w:ind w:firstLine="640" w:firstLineChars="200"/>
        <w:rPr>
          <w:rFonts w:eastAsia="仿宋_GB2312"/>
          <w:sz w:val="32"/>
          <w:szCs w:val="32"/>
        </w:rPr>
      </w:pPr>
      <w:r>
        <w:rPr>
          <w:rFonts w:eastAsia="仿宋_GB2312"/>
          <w:sz w:val="32"/>
          <w:szCs w:val="32"/>
        </w:rPr>
        <w:t>下一步，沣东新城功能区将充分发挥自身优势，借助我省各博物馆丰富的馆藏，不断丰富“互联网+文物教育”平台功能，在做好平台系统优化与完善基础上，持续丰富文物教育内容，并为相关文博、文化机构提供全方位数字文物运营保障与服务，积极开展线下文物文化衍生品的设计、生产、推广合作工作；利用自贸试验区国际通道优势，与国际港务区等功能区联手协作，开展境外文物展示交流、保税展示、金融外汇等服务及文创产品发展合作，加速实现中国优秀传统文化走出国门。</w:t>
      </w:r>
    </w:p>
    <w:p>
      <w:pPr>
        <w:spacing w:line="560" w:lineRule="exact"/>
        <w:ind w:firstLine="640" w:firstLineChars="200"/>
        <w:rPr>
          <w:rFonts w:eastAsia="仿宋_GB2312"/>
          <w:sz w:val="32"/>
          <w:szCs w:val="32"/>
        </w:rPr>
      </w:pPr>
    </w:p>
    <w:p>
      <w:pPr>
        <w:pStyle w:val="18"/>
        <w:spacing w:line="594" w:lineRule="exact"/>
        <w:ind w:firstLine="640"/>
        <w:rPr>
          <w:rFonts w:eastAsia="仿宋_GB2312"/>
          <w:sz w:val="32"/>
          <w:szCs w:val="32"/>
        </w:rPr>
      </w:pPr>
    </w:p>
    <w:p>
      <w:pPr>
        <w:pStyle w:val="18"/>
        <w:spacing w:line="594" w:lineRule="exact"/>
        <w:ind w:firstLine="0" w:firstLineChars="0"/>
        <w:rPr>
          <w:rFonts w:eastAsia="仿宋_GB2312"/>
          <w:sz w:val="32"/>
          <w:szCs w:val="32"/>
        </w:rPr>
      </w:pPr>
    </w:p>
    <w:p>
      <w:pPr>
        <w:spacing w:line="594" w:lineRule="exact"/>
        <w:rPr>
          <w:rFonts w:eastAsia="黑体"/>
          <w:sz w:val="32"/>
          <w:szCs w:val="32"/>
        </w:rPr>
      </w:pPr>
      <w:r>
        <w:rPr>
          <w:rFonts w:eastAsia="黑体"/>
          <w:sz w:val="32"/>
          <w:szCs w:val="32"/>
        </w:rPr>
        <w:br w:type="page"/>
      </w:r>
      <w:r>
        <w:rPr>
          <w:rFonts w:hint="eastAsia" w:ascii="黑体" w:hAnsi="黑体" w:eastAsia="黑体" w:cs="黑体"/>
          <w:sz w:val="32"/>
          <w:szCs w:val="32"/>
        </w:rPr>
        <w:t>案例8</w:t>
      </w:r>
    </w:p>
    <w:p>
      <w:pPr>
        <w:spacing w:line="594" w:lineRule="exact"/>
        <w:jc w:val="center"/>
        <w:outlineLvl w:val="1"/>
        <w:rPr>
          <w:rFonts w:eastAsia="方正小标宋简体"/>
          <w:sz w:val="44"/>
          <w:szCs w:val="44"/>
        </w:rPr>
      </w:pPr>
    </w:p>
    <w:p>
      <w:pPr>
        <w:spacing w:line="594" w:lineRule="exact"/>
        <w:jc w:val="center"/>
        <w:outlineLvl w:val="1"/>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“秦渲云”平台</w:t>
      </w:r>
    </w:p>
    <w:p>
      <w:pPr>
        <w:spacing w:line="594" w:lineRule="exact"/>
        <w:jc w:val="center"/>
        <w:rPr>
          <w:rFonts w:eastAsia="楷体_GB2312"/>
          <w:sz w:val="32"/>
          <w:szCs w:val="32"/>
        </w:rPr>
      </w:pPr>
      <w:r>
        <w:rPr>
          <w:rFonts w:eastAsia="楷体_GB2312"/>
          <w:sz w:val="32"/>
          <w:szCs w:val="32"/>
        </w:rPr>
        <w:t>（自贸试验区西咸新区秦汉新城功能区提供）</w:t>
      </w:r>
    </w:p>
    <w:p>
      <w:pPr>
        <w:spacing w:line="594" w:lineRule="exact"/>
        <w:ind w:firstLine="640" w:firstLineChars="200"/>
        <w:rPr>
          <w:rFonts w:eastAsia="仿宋_GB2312"/>
          <w:color w:val="000000"/>
          <w:sz w:val="32"/>
          <w:szCs w:val="32"/>
        </w:rPr>
      </w:pPr>
    </w:p>
    <w:p>
      <w:pPr>
        <w:spacing w:line="560" w:lineRule="exact"/>
        <w:ind w:firstLine="640" w:firstLineChars="200"/>
        <w:rPr>
          <w:rFonts w:eastAsia="仿宋_GB2312"/>
          <w:color w:val="000000"/>
          <w:sz w:val="32"/>
          <w:szCs w:val="32"/>
        </w:rPr>
      </w:pPr>
      <w:r>
        <w:rPr>
          <w:rFonts w:eastAsia="仿宋_GB2312"/>
          <w:color w:val="000000"/>
          <w:sz w:val="32"/>
          <w:szCs w:val="32"/>
        </w:rPr>
        <w:t>秦汉新城功能区与惠普公司合作打造国际领先的“秦渲云”平台，为文化创意企业提供渲染云服务，推动了文化创意产业的集聚发展，增加了陕西文化创意产业品牌竞争力。</w:t>
      </w:r>
    </w:p>
    <w:p>
      <w:pPr>
        <w:spacing w:line="560" w:lineRule="exact"/>
        <w:ind w:firstLine="640" w:firstLineChars="200"/>
        <w:rPr>
          <w:rFonts w:eastAsia="黑体"/>
          <w:color w:val="000000"/>
          <w:sz w:val="32"/>
          <w:szCs w:val="32"/>
        </w:rPr>
      </w:pPr>
      <w:r>
        <w:rPr>
          <w:rFonts w:eastAsia="黑体"/>
          <w:color w:val="000000"/>
          <w:sz w:val="32"/>
          <w:szCs w:val="32"/>
        </w:rPr>
        <w:t>一、平台介绍</w:t>
      </w:r>
    </w:p>
    <w:p>
      <w:pPr>
        <w:spacing w:line="560" w:lineRule="exact"/>
        <w:ind w:firstLine="640" w:firstLineChars="200"/>
        <w:rPr>
          <w:rFonts w:eastAsia="仿宋_GB2312"/>
          <w:color w:val="000000"/>
          <w:sz w:val="32"/>
          <w:szCs w:val="32"/>
        </w:rPr>
      </w:pPr>
      <w:r>
        <w:rPr>
          <w:rFonts w:eastAsia="仿宋_GB2312"/>
          <w:color w:val="000000"/>
          <w:sz w:val="32"/>
          <w:szCs w:val="32"/>
        </w:rPr>
        <w:t>“秦渲云”是秦汉新城功能区联袂中国惠普有限公司联合打造的渲染服务云平台，通过云计算及大数据技术，形成基于人工智能的数字内容渲染场景解决方案，并且以渲染为核心，逐步形成以人才教育培训、园区企业聚集、文创产业基金、项目合作等为支撑的完整产业生态。</w:t>
      </w:r>
    </w:p>
    <w:p>
      <w:pPr>
        <w:spacing w:line="560" w:lineRule="exact"/>
        <w:ind w:firstLine="640" w:firstLineChars="200"/>
        <w:jc w:val="left"/>
        <w:rPr>
          <w:rFonts w:eastAsia="仿宋_GB2312"/>
          <w:color w:val="000000"/>
          <w:sz w:val="32"/>
          <w:szCs w:val="32"/>
        </w:rPr>
      </w:pPr>
      <w:r>
        <w:rPr>
          <w:rFonts w:eastAsia="仿宋_GB2312"/>
          <w:sz w:val="32"/>
          <w:szCs w:val="32"/>
        </w:rPr>
        <w:t>平台</w:t>
      </w:r>
      <w:r>
        <w:rPr>
          <w:rFonts w:eastAsia="仿宋_GB2312"/>
          <w:color w:val="000000"/>
          <w:sz w:val="32"/>
          <w:szCs w:val="32"/>
        </w:rPr>
        <w:t>配备高性能刀片服务器，搭载Intel至强E5双路16核处理器，拥有强大的运算能力，与梦工厂采用同一渲染构架，以及超一流动态集群调度能力，一秒调动海量资源。</w:t>
      </w:r>
    </w:p>
    <w:p>
      <w:pPr>
        <w:spacing w:line="560" w:lineRule="exact"/>
        <w:ind w:firstLine="640"/>
        <w:jc w:val="left"/>
        <w:rPr>
          <w:rFonts w:eastAsia="仿宋_GB2312"/>
          <w:sz w:val="32"/>
          <w:szCs w:val="32"/>
        </w:rPr>
      </w:pPr>
      <w:r>
        <w:rPr>
          <w:rFonts w:eastAsia="仿宋_GB2312"/>
          <w:sz w:val="32"/>
          <w:szCs w:val="32"/>
        </w:rPr>
        <w:t>平台自主研发的3D模型渲染插件与拖拽式提交系统、3D模型文件渲染调度与分发系统、3D模型文件数据去重与传输系统、3D模型文件渲染计费系统、3D模型文件跨数据中心渲染调度系统等为客户带来高速、安全、稳定、便捷的专业化渲染云服务。</w:t>
      </w:r>
    </w:p>
    <w:p>
      <w:pPr>
        <w:spacing w:line="560" w:lineRule="exact"/>
        <w:ind w:firstLine="640" w:firstLineChars="200"/>
        <w:rPr>
          <w:rFonts w:eastAsia="仿宋_GB2312"/>
          <w:color w:val="000000"/>
          <w:sz w:val="32"/>
          <w:szCs w:val="32"/>
        </w:rPr>
      </w:pPr>
      <w:r>
        <w:rPr>
          <w:rFonts w:eastAsia="仿宋_GB2312"/>
          <w:color w:val="000000"/>
          <w:sz w:val="32"/>
          <w:szCs w:val="32"/>
        </w:rPr>
        <w:t>目前，平台已形成5大服务体系：为教育培训产业提供信息技术服务；为影视动漫行业提供基于云计算的顶级渲染制作服务；为建筑设计、展览展示行业提供高品质的制作服务；为文化创意产业创新创业提供技术实验服务和为小微企业孵化器提供信息及技术支持服务。</w:t>
      </w:r>
    </w:p>
    <w:p>
      <w:pPr>
        <w:spacing w:line="560" w:lineRule="exact"/>
        <w:ind w:firstLine="640" w:firstLineChars="200"/>
        <w:rPr>
          <w:rFonts w:eastAsia="黑体"/>
          <w:color w:val="000000"/>
          <w:sz w:val="32"/>
          <w:szCs w:val="32"/>
        </w:rPr>
      </w:pPr>
      <w:r>
        <w:rPr>
          <w:rFonts w:eastAsia="黑体"/>
          <w:color w:val="000000"/>
          <w:sz w:val="32"/>
          <w:szCs w:val="32"/>
        </w:rPr>
        <w:t>二、实践效果</w:t>
      </w:r>
    </w:p>
    <w:p>
      <w:pPr>
        <w:spacing w:line="560" w:lineRule="exact"/>
        <w:ind w:firstLine="643" w:firstLineChars="200"/>
        <w:rPr>
          <w:rFonts w:eastAsia="楷体_GB2312"/>
          <w:b/>
          <w:color w:val="000000"/>
          <w:sz w:val="32"/>
          <w:szCs w:val="32"/>
        </w:rPr>
      </w:pPr>
      <w:r>
        <w:rPr>
          <w:rFonts w:eastAsia="楷体_GB2312"/>
          <w:b/>
          <w:color w:val="000000"/>
          <w:sz w:val="32"/>
          <w:szCs w:val="32"/>
        </w:rPr>
        <w:t>（一）降低了文化企业成本。</w:t>
      </w:r>
    </w:p>
    <w:p>
      <w:pPr>
        <w:spacing w:line="560" w:lineRule="exact"/>
        <w:ind w:firstLine="640" w:firstLineChars="200"/>
        <w:rPr>
          <w:rFonts w:eastAsia="仿宋_GB2312"/>
          <w:color w:val="000000"/>
          <w:sz w:val="32"/>
          <w:szCs w:val="32"/>
        </w:rPr>
      </w:pPr>
      <w:r>
        <w:rPr>
          <w:rFonts w:eastAsia="仿宋_GB2312"/>
          <w:color w:val="000000"/>
          <w:sz w:val="32"/>
          <w:szCs w:val="32"/>
        </w:rPr>
        <w:t>采用跨地域跨机房的资源调度系统和最新的云端渲染技术，为平台内企业提供了上传、渲染、自动回传等一站式服务，降低了企业成本，提高了渲染效率。</w:t>
      </w:r>
    </w:p>
    <w:p>
      <w:pPr>
        <w:spacing w:line="560" w:lineRule="exact"/>
        <w:ind w:firstLine="643" w:firstLineChars="200"/>
        <w:rPr>
          <w:rFonts w:eastAsia="楷体_GB2312"/>
          <w:b/>
          <w:color w:val="000000"/>
          <w:sz w:val="32"/>
          <w:szCs w:val="32"/>
        </w:rPr>
      </w:pPr>
      <w:r>
        <w:rPr>
          <w:rFonts w:hint="eastAsia" w:eastAsia="楷体_GB2312"/>
          <w:b/>
          <w:color w:val="000000"/>
          <w:sz w:val="32"/>
          <w:szCs w:val="32"/>
        </w:rPr>
        <w:t>（二）</w:t>
      </w:r>
      <w:r>
        <w:rPr>
          <w:rFonts w:eastAsia="楷体_GB2312"/>
          <w:b/>
          <w:color w:val="000000"/>
          <w:sz w:val="32"/>
          <w:szCs w:val="32"/>
        </w:rPr>
        <w:t>推进了文化人才培养。</w:t>
      </w:r>
    </w:p>
    <w:p>
      <w:pPr>
        <w:spacing w:line="560" w:lineRule="exact"/>
        <w:ind w:firstLine="640" w:firstLineChars="200"/>
        <w:rPr>
          <w:rFonts w:eastAsia="仿宋_GB2312"/>
          <w:color w:val="000000"/>
          <w:sz w:val="32"/>
          <w:szCs w:val="32"/>
        </w:rPr>
      </w:pPr>
      <w:r>
        <w:rPr>
          <w:rFonts w:eastAsia="仿宋_GB2312"/>
          <w:color w:val="000000"/>
          <w:sz w:val="32"/>
          <w:szCs w:val="32"/>
        </w:rPr>
        <w:t>平台先后与西北大学、西安工业大学、西安美术学院等院校以及相关文化创意培训机构合作，建设了专业级的渲染技术服务领域人才实训基地，为影视动漫、艺术设计、后期制作、文化创意等行业输出专业人才，实现人才从学校到企业的无缝对接。</w:t>
      </w:r>
    </w:p>
    <w:p>
      <w:pPr>
        <w:spacing w:line="560" w:lineRule="exact"/>
        <w:ind w:firstLine="643" w:firstLineChars="200"/>
        <w:rPr>
          <w:rFonts w:eastAsia="楷体_GB2312"/>
          <w:b/>
          <w:color w:val="000000"/>
          <w:sz w:val="32"/>
          <w:szCs w:val="32"/>
        </w:rPr>
      </w:pPr>
      <w:r>
        <w:rPr>
          <w:rFonts w:hint="eastAsia" w:eastAsia="楷体_GB2312"/>
          <w:b/>
          <w:color w:val="000000"/>
          <w:sz w:val="32"/>
          <w:szCs w:val="32"/>
        </w:rPr>
        <w:t>（三）</w:t>
      </w:r>
      <w:r>
        <w:rPr>
          <w:rFonts w:eastAsia="楷体_GB2312"/>
          <w:b/>
          <w:color w:val="000000"/>
          <w:sz w:val="32"/>
          <w:szCs w:val="32"/>
        </w:rPr>
        <w:t>促进了文化产业融合。</w:t>
      </w:r>
    </w:p>
    <w:p>
      <w:pPr>
        <w:spacing w:line="560" w:lineRule="exact"/>
        <w:ind w:firstLine="640" w:firstLineChars="200"/>
        <w:rPr>
          <w:rFonts w:eastAsia="仿宋_GB2312"/>
          <w:color w:val="000000"/>
          <w:sz w:val="32"/>
          <w:szCs w:val="32"/>
        </w:rPr>
      </w:pPr>
      <w:r>
        <w:rPr>
          <w:rFonts w:eastAsia="仿宋_GB2312"/>
          <w:color w:val="000000"/>
          <w:sz w:val="32"/>
          <w:szCs w:val="32"/>
        </w:rPr>
        <w:t>目前，平台已成功孵化了系列VR剧《玎珰开讲》等IP系列，同时，还成功为延乡汉成帝等博物馆提供数字化博物馆解决方案，并结合秦汉新城功能区丰富的文化遗存打造《秦汉十一景》全景VR项目，为韩国MG公司提供总额达300万元的影视后期制作云服务。联合国内高端视效培训机构CGX，并与好莱坞顶级制作团队维塔数码进行为期四周的电影特效及影视后期制作课程培训。同时，与华为、中国电信、中国移动、新华三集团、韩国MG等企业就科技技术资源整合、公共平台建设等方面展开合作。</w:t>
      </w:r>
    </w:p>
    <w:p>
      <w:pPr>
        <w:spacing w:line="560" w:lineRule="exact"/>
        <w:ind w:firstLine="643" w:firstLineChars="200"/>
        <w:rPr>
          <w:rFonts w:eastAsia="楷体_GB2312"/>
          <w:b/>
          <w:color w:val="000000"/>
          <w:sz w:val="32"/>
          <w:szCs w:val="32"/>
        </w:rPr>
      </w:pPr>
      <w:r>
        <w:rPr>
          <w:rFonts w:hint="eastAsia" w:eastAsia="楷体_GB2312"/>
          <w:b/>
          <w:color w:val="000000"/>
          <w:sz w:val="32"/>
          <w:szCs w:val="32"/>
        </w:rPr>
        <w:t>（四）</w:t>
      </w:r>
      <w:r>
        <w:rPr>
          <w:rFonts w:eastAsia="楷体_GB2312"/>
          <w:b/>
          <w:color w:val="000000"/>
          <w:sz w:val="32"/>
          <w:szCs w:val="32"/>
        </w:rPr>
        <w:t>提升了文化产业竞争力。</w:t>
      </w:r>
    </w:p>
    <w:p>
      <w:pPr>
        <w:spacing w:line="560" w:lineRule="exact"/>
        <w:ind w:firstLine="640" w:firstLineChars="200"/>
        <w:rPr>
          <w:rFonts w:eastAsia="仿宋_GB2312"/>
          <w:color w:val="000000"/>
          <w:sz w:val="32"/>
          <w:szCs w:val="32"/>
        </w:rPr>
      </w:pPr>
      <w:r>
        <w:rPr>
          <w:rFonts w:eastAsia="仿宋_GB2312"/>
          <w:color w:val="000000"/>
          <w:sz w:val="32"/>
          <w:szCs w:val="32"/>
        </w:rPr>
        <w:t>目前，平台已注册用户700家，其中企业用户620家，个人用户80家，初步形成了以云渲染为基础的数字文化全产业链，推动文化创意产业小型微型企业双创孵化工作，从而形成文化IP产生、开发及应用全产业链，增加陕西文化创意产业品牌竞争力。</w:t>
      </w:r>
    </w:p>
    <w:p>
      <w:pPr>
        <w:spacing w:line="560" w:lineRule="exact"/>
        <w:ind w:firstLine="640" w:firstLineChars="200"/>
        <w:rPr>
          <w:rFonts w:eastAsia="黑体"/>
          <w:color w:val="000000"/>
          <w:sz w:val="32"/>
          <w:szCs w:val="32"/>
        </w:rPr>
      </w:pPr>
      <w:r>
        <w:rPr>
          <w:rFonts w:eastAsia="黑体"/>
          <w:color w:val="000000"/>
          <w:sz w:val="32"/>
          <w:szCs w:val="32"/>
        </w:rPr>
        <w:t>三、下一步工作思路</w:t>
      </w:r>
    </w:p>
    <w:p>
      <w:pPr>
        <w:spacing w:line="560" w:lineRule="exact"/>
        <w:ind w:firstLine="643" w:firstLineChars="200"/>
        <w:rPr>
          <w:rFonts w:hint="eastAsia" w:eastAsia="楷体_GB2312"/>
          <w:b/>
          <w:color w:val="000000"/>
          <w:sz w:val="32"/>
          <w:szCs w:val="32"/>
        </w:rPr>
      </w:pPr>
      <w:r>
        <w:rPr>
          <w:rFonts w:eastAsia="楷体_GB2312"/>
          <w:b/>
          <w:color w:val="000000"/>
          <w:sz w:val="32"/>
          <w:szCs w:val="32"/>
        </w:rPr>
        <w:t>（一）加快平台创新步伐</w:t>
      </w:r>
      <w:r>
        <w:rPr>
          <w:rFonts w:hint="eastAsia" w:eastAsia="楷体_GB2312"/>
          <w:b/>
          <w:color w:val="000000"/>
          <w:sz w:val="32"/>
          <w:szCs w:val="32"/>
        </w:rPr>
        <w:t>。</w:t>
      </w:r>
    </w:p>
    <w:p>
      <w:pPr>
        <w:spacing w:line="560" w:lineRule="exact"/>
        <w:ind w:firstLine="640" w:firstLineChars="200"/>
        <w:rPr>
          <w:rFonts w:eastAsia="仿宋_GB2312"/>
          <w:color w:val="000000"/>
          <w:sz w:val="32"/>
          <w:szCs w:val="32"/>
        </w:rPr>
      </w:pPr>
      <w:r>
        <w:rPr>
          <w:rFonts w:eastAsia="仿宋_GB2312"/>
          <w:color w:val="000000"/>
          <w:sz w:val="32"/>
          <w:szCs w:val="32"/>
        </w:rPr>
        <w:t>通过与华为云等公有云合作，加快公有云+私有云为基础的混合云渲染服务建设，满足多场景应用需求。充分利用西安相关高校和培训机构的教育培训资源，和惠普实训教育相结合，将产学研有机融合在数字“秦渲云”平台的建设发展中，为项目本身的产业发展提供人才保障，为陕西乃至全国提供相关产业发展所必须的人力资源和技术支持。</w:t>
      </w:r>
    </w:p>
    <w:p>
      <w:pPr>
        <w:spacing w:line="560" w:lineRule="exact"/>
        <w:ind w:firstLine="643" w:firstLineChars="200"/>
        <w:rPr>
          <w:rFonts w:hint="eastAsia" w:eastAsia="楷体_GB2312"/>
          <w:b/>
          <w:color w:val="000000"/>
          <w:sz w:val="32"/>
          <w:szCs w:val="32"/>
        </w:rPr>
      </w:pPr>
      <w:r>
        <w:rPr>
          <w:rFonts w:eastAsia="楷体_GB2312"/>
          <w:b/>
          <w:color w:val="000000"/>
          <w:sz w:val="32"/>
          <w:szCs w:val="32"/>
        </w:rPr>
        <w:t>（二）拓展人文交流路径</w:t>
      </w:r>
      <w:r>
        <w:rPr>
          <w:rFonts w:hint="eastAsia" w:eastAsia="楷体_GB2312"/>
          <w:b/>
          <w:color w:val="000000"/>
          <w:sz w:val="32"/>
          <w:szCs w:val="32"/>
        </w:rPr>
        <w:t>。</w:t>
      </w:r>
    </w:p>
    <w:p>
      <w:pPr>
        <w:spacing w:line="560" w:lineRule="exact"/>
        <w:ind w:firstLine="640" w:firstLineChars="200"/>
        <w:rPr>
          <w:rFonts w:eastAsia="仿宋_GB2312"/>
          <w:sz w:val="32"/>
          <w:szCs w:val="32"/>
        </w:rPr>
      </w:pPr>
      <w:r>
        <w:rPr>
          <w:rFonts w:eastAsia="仿宋_GB2312"/>
          <w:color w:val="000000"/>
          <w:sz w:val="32"/>
          <w:szCs w:val="32"/>
        </w:rPr>
        <w:t>平台将打造“一带一路”数字文化相关统一标准建设，实现“一带一路”文博机构的共享共商机制，不断加快国际文化创意产业与服务贸易相融合，创新人文交流新模式。</w:t>
      </w:r>
    </w:p>
    <w:p>
      <w:pPr>
        <w:spacing w:line="594" w:lineRule="exact"/>
        <w:ind w:firstLine="640" w:firstLineChars="200"/>
        <w:rPr>
          <w:rFonts w:eastAsia="仿宋_GB2312"/>
          <w:color w:val="000000"/>
          <w:sz w:val="32"/>
          <w:szCs w:val="32"/>
        </w:rPr>
      </w:pPr>
    </w:p>
    <w:p>
      <w:pPr>
        <w:spacing w:line="566" w:lineRule="exact"/>
        <w:rPr>
          <w:rFonts w:eastAsia="黑体"/>
          <w:sz w:val="32"/>
          <w:szCs w:val="32"/>
        </w:rPr>
      </w:pPr>
      <w:r>
        <w:rPr>
          <w:rFonts w:eastAsia="黑体"/>
          <w:kern w:val="0"/>
          <w:sz w:val="32"/>
          <w:lang w:val="en-GB"/>
        </w:rPr>
        <w:br w:type="page"/>
      </w:r>
      <w:r>
        <w:rPr>
          <w:rFonts w:hint="eastAsia" w:ascii="黑体" w:hAnsi="黑体" w:eastAsia="黑体" w:cs="黑体"/>
          <w:sz w:val="32"/>
          <w:szCs w:val="32"/>
        </w:rPr>
        <w:t>案例9</w:t>
      </w:r>
    </w:p>
    <w:p>
      <w:pPr>
        <w:spacing w:line="566" w:lineRule="exact"/>
        <w:jc w:val="center"/>
        <w:rPr>
          <w:rFonts w:eastAsia="方正小标宋简体"/>
          <w:sz w:val="44"/>
          <w:szCs w:val="44"/>
        </w:rPr>
      </w:pPr>
      <w:bookmarkStart w:id="8" w:name="互联网医疗新模式"/>
      <w:bookmarkStart w:id="9" w:name="_Toc530127984"/>
    </w:p>
    <w:p>
      <w:pPr>
        <w:spacing w:line="566" w:lineRule="exact"/>
        <w:jc w:val="center"/>
        <w:rPr>
          <w:rFonts w:eastAsia="方正小标宋_GBK"/>
          <w:sz w:val="44"/>
          <w:szCs w:val="44"/>
        </w:rPr>
      </w:pPr>
      <w:r>
        <w:rPr>
          <w:rFonts w:hint="eastAsia" w:ascii="方正小标宋简体" w:hAnsi="方正小标宋简体" w:eastAsia="方正小标宋简体" w:cs="方正小标宋简体"/>
          <w:sz w:val="44"/>
          <w:szCs w:val="44"/>
        </w:rPr>
        <w:fldChar w:fldCharType="begin"/>
      </w:r>
      <w:r>
        <w:rPr>
          <w:rFonts w:hint="eastAsia" w:ascii="方正小标宋简体" w:hAnsi="方正小标宋简体" w:eastAsia="方正小标宋简体" w:cs="方正小标宋简体"/>
          <w:sz w:val="44"/>
          <w:szCs w:val="44"/>
        </w:rPr>
        <w:instrText xml:space="preserve"> HYPERLINK \l "目录" </w:instrText>
      </w:r>
      <w:r>
        <w:rPr>
          <w:rFonts w:hint="eastAsia" w:ascii="方正小标宋简体" w:hAnsi="方正小标宋简体" w:eastAsia="方正小标宋简体" w:cs="方正小标宋简体"/>
          <w:sz w:val="44"/>
          <w:szCs w:val="44"/>
        </w:rPr>
        <w:fldChar w:fldCharType="separate"/>
      </w:r>
      <w:r>
        <w:rPr>
          <w:rStyle w:val="16"/>
          <w:rFonts w:hint="eastAsia" w:ascii="方正小标宋简体" w:hAnsi="方正小标宋简体" w:eastAsia="方正小标宋简体" w:cs="方正小标宋简体"/>
          <w:color w:val="auto"/>
          <w:sz w:val="44"/>
          <w:szCs w:val="44"/>
          <w:u w:val="none"/>
        </w:rPr>
        <w:t>互联网医疗新模式</w:t>
      </w:r>
      <w:bookmarkEnd w:id="8"/>
      <w:r>
        <w:rPr>
          <w:rFonts w:hint="eastAsia" w:ascii="方正小标宋简体" w:hAnsi="方正小标宋简体" w:eastAsia="方正小标宋简体" w:cs="方正小标宋简体"/>
          <w:sz w:val="44"/>
          <w:szCs w:val="44"/>
        </w:rPr>
        <w:fldChar w:fldCharType="end"/>
      </w:r>
      <w:bookmarkEnd w:id="9"/>
    </w:p>
    <w:p>
      <w:pPr>
        <w:spacing w:line="566" w:lineRule="exact"/>
        <w:jc w:val="center"/>
        <w:rPr>
          <w:rFonts w:eastAsia="楷体_GB2312"/>
          <w:sz w:val="32"/>
          <w:szCs w:val="32"/>
        </w:rPr>
      </w:pPr>
      <w:r>
        <w:rPr>
          <w:rFonts w:eastAsia="楷体_GB2312"/>
          <w:sz w:val="32"/>
          <w:szCs w:val="32"/>
        </w:rPr>
        <w:t>（自贸试验区西安高新区功能区提供）</w:t>
      </w:r>
    </w:p>
    <w:p>
      <w:pPr>
        <w:spacing w:line="566" w:lineRule="exact"/>
        <w:ind w:firstLine="640" w:firstLineChars="200"/>
        <w:rPr>
          <w:rFonts w:eastAsia="仿宋_GB2312"/>
          <w:sz w:val="32"/>
          <w:szCs w:val="32"/>
        </w:rPr>
      </w:pPr>
    </w:p>
    <w:p>
      <w:pPr>
        <w:spacing w:line="560" w:lineRule="exact"/>
        <w:ind w:firstLine="640" w:firstLineChars="200"/>
        <w:rPr>
          <w:rFonts w:eastAsia="仿宋_GB2312"/>
          <w:sz w:val="32"/>
          <w:szCs w:val="32"/>
        </w:rPr>
      </w:pPr>
      <w:r>
        <w:rPr>
          <w:rFonts w:eastAsia="仿宋_GB2312"/>
          <w:sz w:val="32"/>
          <w:szCs w:val="32"/>
        </w:rPr>
        <w:t xml:space="preserve">为落实国家分级诊疗政策，响应国家发展“互联网+医疗健康”的号召，提升医院的医疗信息化水平，缓解看病就医难题，提升人民健康水平，高新区功能区依托现有医疗服务平台，持续扩大医疗服务规模，积极构建大健康产业链条，打造互联网医疗新模式。  </w:t>
      </w:r>
    </w:p>
    <w:p>
      <w:pPr>
        <w:spacing w:line="560" w:lineRule="exact"/>
        <w:ind w:firstLine="640" w:firstLineChars="200"/>
        <w:outlineLvl w:val="0"/>
        <w:rPr>
          <w:rFonts w:eastAsia="黑体"/>
          <w:sz w:val="32"/>
          <w:szCs w:val="32"/>
        </w:rPr>
      </w:pPr>
      <w:r>
        <w:rPr>
          <w:rFonts w:eastAsia="黑体"/>
          <w:color w:val="000000"/>
          <w:sz w:val="32"/>
          <w:szCs w:val="32"/>
          <w:shd w:val="clear" w:color="auto" w:fill="FFFFFF"/>
        </w:rPr>
        <w:t xml:space="preserve">一、主要做法 </w:t>
      </w:r>
      <w:r>
        <w:rPr>
          <w:rFonts w:eastAsia="黑体"/>
          <w:sz w:val="32"/>
          <w:szCs w:val="32"/>
        </w:rPr>
        <w:t xml:space="preserve"> </w:t>
      </w:r>
    </w:p>
    <w:p>
      <w:pPr>
        <w:spacing w:line="560" w:lineRule="exact"/>
        <w:ind w:firstLine="643" w:firstLineChars="200"/>
        <w:outlineLvl w:val="0"/>
        <w:rPr>
          <w:rFonts w:eastAsia="楷体_GB2312"/>
          <w:b/>
          <w:color w:val="000000"/>
          <w:sz w:val="32"/>
          <w:szCs w:val="32"/>
        </w:rPr>
      </w:pPr>
      <w:r>
        <w:rPr>
          <w:rFonts w:eastAsia="楷体_GB2312"/>
          <w:b/>
          <w:color w:val="000000"/>
          <w:sz w:val="32"/>
          <w:szCs w:val="32"/>
        </w:rPr>
        <w:t>（一）成立互联网医院。</w:t>
      </w:r>
    </w:p>
    <w:p>
      <w:pPr>
        <w:spacing w:line="560" w:lineRule="exact"/>
        <w:ind w:firstLine="640" w:firstLineChars="200"/>
        <w:outlineLvl w:val="0"/>
        <w:rPr>
          <w:rFonts w:eastAsia="仿宋_GB2312"/>
          <w:sz w:val="32"/>
          <w:szCs w:val="32"/>
        </w:rPr>
      </w:pPr>
      <w:r>
        <w:rPr>
          <w:rFonts w:eastAsia="仿宋_GB2312"/>
          <w:sz w:val="32"/>
          <w:szCs w:val="32"/>
        </w:rPr>
        <w:t>在阿里健康APP上推出阿里健康</w:t>
      </w:r>
      <w:r>
        <w:rPr>
          <w:rFonts w:hint="eastAsia" w:eastAsia="仿宋_GB2312"/>
          <w:sz w:val="32"/>
          <w:szCs w:val="32"/>
        </w:rPr>
        <w:t>“</w:t>
      </w:r>
      <w:r>
        <w:rPr>
          <w:rFonts w:eastAsia="仿宋_GB2312"/>
          <w:sz w:val="32"/>
          <w:szCs w:val="32"/>
        </w:rPr>
        <w:t>西安高新互联网医院</w:t>
      </w:r>
      <w:r>
        <w:rPr>
          <w:rFonts w:hint="eastAsia" w:eastAsia="仿宋_GB2312"/>
          <w:sz w:val="32"/>
          <w:szCs w:val="32"/>
        </w:rPr>
        <w:t>”</w:t>
      </w:r>
      <w:r>
        <w:rPr>
          <w:rFonts w:eastAsia="仿宋_GB2312"/>
          <w:sz w:val="32"/>
          <w:szCs w:val="32"/>
        </w:rPr>
        <w:t>线上服务，依托实体医院打造的互联网医疗产品“西安高新医院互联网医院”支付宝生活号，在线上即可完成咨询、挂号、复诊、转诊、会诊、电子处方、药品配送等服务，提升患者满意度及体验。</w:t>
      </w:r>
    </w:p>
    <w:p>
      <w:pPr>
        <w:spacing w:line="560" w:lineRule="exact"/>
        <w:ind w:firstLine="643" w:firstLineChars="200"/>
        <w:outlineLvl w:val="0"/>
        <w:rPr>
          <w:rFonts w:eastAsia="楷体_GB2312"/>
          <w:b/>
          <w:color w:val="000000"/>
          <w:sz w:val="32"/>
          <w:szCs w:val="32"/>
        </w:rPr>
      </w:pPr>
      <w:r>
        <w:rPr>
          <w:rFonts w:eastAsia="楷体_GB2312"/>
          <w:b/>
          <w:color w:val="000000"/>
          <w:sz w:val="32"/>
          <w:szCs w:val="32"/>
        </w:rPr>
        <w:t>（二）创建远程会诊中心。</w:t>
      </w:r>
    </w:p>
    <w:p>
      <w:pPr>
        <w:spacing w:line="560" w:lineRule="exact"/>
        <w:ind w:firstLine="640" w:firstLineChars="200"/>
        <w:outlineLvl w:val="0"/>
        <w:rPr>
          <w:rFonts w:eastAsia="仿宋_GB2312"/>
          <w:sz w:val="32"/>
          <w:szCs w:val="32"/>
        </w:rPr>
      </w:pPr>
      <w:r>
        <w:rPr>
          <w:rFonts w:eastAsia="仿宋_GB2312"/>
          <w:sz w:val="32"/>
          <w:szCs w:val="32"/>
        </w:rPr>
        <w:t>汇集国内外顶尖的医学专家团队，通过云端向客户提供远程影像、远程病理、远程心电、远程门诊、远程会诊、多学科联合会诊、远程教学、健康管理、医疗大数据等服务。</w:t>
      </w:r>
    </w:p>
    <w:p>
      <w:pPr>
        <w:spacing w:line="560" w:lineRule="exact"/>
        <w:ind w:firstLine="643" w:firstLineChars="200"/>
        <w:outlineLvl w:val="0"/>
        <w:rPr>
          <w:rFonts w:eastAsia="楷体_GB2312"/>
          <w:b/>
          <w:color w:val="000000"/>
          <w:sz w:val="32"/>
          <w:szCs w:val="32"/>
        </w:rPr>
      </w:pPr>
      <w:r>
        <w:rPr>
          <w:rFonts w:eastAsia="楷体_GB2312"/>
          <w:b/>
          <w:color w:val="000000"/>
          <w:sz w:val="32"/>
          <w:szCs w:val="32"/>
        </w:rPr>
        <w:t>（三）打造“新医疗”体系。</w:t>
      </w:r>
    </w:p>
    <w:p>
      <w:pPr>
        <w:spacing w:line="560" w:lineRule="exact"/>
        <w:ind w:firstLine="640" w:firstLineChars="200"/>
        <w:outlineLvl w:val="0"/>
        <w:rPr>
          <w:rFonts w:eastAsia="仿宋_GB2312"/>
          <w:sz w:val="32"/>
          <w:szCs w:val="32"/>
        </w:rPr>
      </w:pPr>
      <w:r>
        <w:rPr>
          <w:rFonts w:eastAsia="仿宋_GB2312"/>
          <w:sz w:val="32"/>
          <w:szCs w:val="32"/>
        </w:rPr>
        <w:t>分别与阿里巴巴签订《“新医疗”创新合作协议》、与阿里健康签订《战略合作框架协议》，共建“丝路卫生健康云平台”“‘新医疗’创新生态体系”“人工智能医疗创新实验室”等平台。</w:t>
      </w:r>
    </w:p>
    <w:p>
      <w:pPr>
        <w:spacing w:line="560" w:lineRule="exact"/>
        <w:ind w:firstLine="640" w:firstLineChars="200"/>
        <w:jc w:val="left"/>
        <w:outlineLvl w:val="0"/>
        <w:rPr>
          <w:rFonts w:eastAsia="黑体"/>
          <w:color w:val="000000"/>
          <w:sz w:val="32"/>
          <w:szCs w:val="32"/>
          <w:shd w:val="clear" w:color="auto" w:fill="FFFFFF"/>
        </w:rPr>
      </w:pPr>
      <w:r>
        <w:rPr>
          <w:rFonts w:eastAsia="黑体"/>
          <w:color w:val="000000"/>
          <w:sz w:val="32"/>
          <w:szCs w:val="32"/>
          <w:shd w:val="clear" w:color="auto" w:fill="FFFFFF"/>
        </w:rPr>
        <w:t xml:space="preserve">二、实践效果   </w:t>
      </w:r>
    </w:p>
    <w:p>
      <w:pPr>
        <w:spacing w:line="560" w:lineRule="exact"/>
        <w:ind w:firstLine="640" w:firstLineChars="200"/>
        <w:outlineLvl w:val="0"/>
        <w:rPr>
          <w:rFonts w:eastAsia="仿宋_GB2312"/>
          <w:sz w:val="32"/>
          <w:szCs w:val="32"/>
        </w:rPr>
      </w:pPr>
      <w:r>
        <w:rPr>
          <w:rFonts w:eastAsia="仿宋_GB2312"/>
          <w:sz w:val="32"/>
          <w:szCs w:val="32"/>
        </w:rPr>
        <w:t>“西安高新医院互联网医院”形成了线上、线下、移动医疗与传统医院的完整闭环，下沉医疗资源，降低就医成本，提高就医效率，取得了较好效果，截至2019年7月，共服务患者41450人次。</w:t>
      </w:r>
    </w:p>
    <w:p>
      <w:pPr>
        <w:spacing w:line="560" w:lineRule="exact"/>
        <w:ind w:firstLine="643" w:firstLineChars="200"/>
        <w:rPr>
          <w:rFonts w:eastAsia="楷体_GB2312"/>
          <w:b/>
          <w:sz w:val="32"/>
          <w:szCs w:val="32"/>
        </w:rPr>
      </w:pPr>
      <w:r>
        <w:rPr>
          <w:rFonts w:eastAsia="楷体_GB2312"/>
          <w:b/>
          <w:sz w:val="32"/>
          <w:szCs w:val="32"/>
        </w:rPr>
        <w:t>（一）线上线下联动，提高患者就诊服务效率。</w:t>
      </w:r>
    </w:p>
    <w:p>
      <w:pPr>
        <w:spacing w:line="560" w:lineRule="exact"/>
        <w:ind w:firstLine="640" w:firstLineChars="200"/>
        <w:rPr>
          <w:rFonts w:eastAsia="仿宋_GB2312"/>
          <w:sz w:val="32"/>
          <w:szCs w:val="32"/>
        </w:rPr>
      </w:pPr>
      <w:r>
        <w:rPr>
          <w:rFonts w:eastAsia="仿宋_GB2312"/>
          <w:sz w:val="32"/>
          <w:szCs w:val="32"/>
        </w:rPr>
        <w:t>互联网医疗模式将“数据信息多跑路，病人少跑路”的理念贯穿于诊前、诊中、诊后。患者居家可以咨询专家，医生在线查阅患者历史病历和检查、检验等报告结果，进行报告解读、病情咨询及用药指导，实现了医疗服务线上线下系统联动。医院患者门诊就诊时间从2~3个小时缩短到1个小时，患者满意度达95%以上。</w:t>
      </w:r>
    </w:p>
    <w:p>
      <w:pPr>
        <w:spacing w:line="560" w:lineRule="exact"/>
        <w:ind w:firstLine="643" w:firstLineChars="200"/>
        <w:rPr>
          <w:rFonts w:eastAsia="楷体_GB2312"/>
          <w:b/>
          <w:sz w:val="32"/>
          <w:szCs w:val="32"/>
        </w:rPr>
      </w:pPr>
      <w:r>
        <w:rPr>
          <w:rFonts w:eastAsia="楷体_GB2312"/>
          <w:b/>
          <w:sz w:val="32"/>
          <w:szCs w:val="32"/>
        </w:rPr>
        <w:t>（二）突破时空限制，拓展医疗资源服务范围。</w:t>
      </w:r>
    </w:p>
    <w:p>
      <w:pPr>
        <w:spacing w:line="560" w:lineRule="exact"/>
        <w:ind w:firstLine="640" w:firstLineChars="200"/>
        <w:rPr>
          <w:rFonts w:eastAsia="仿宋_GB2312"/>
          <w:sz w:val="32"/>
          <w:szCs w:val="32"/>
        </w:rPr>
      </w:pPr>
      <w:r>
        <w:rPr>
          <w:rFonts w:eastAsia="仿宋_GB2312"/>
          <w:sz w:val="32"/>
          <w:szCs w:val="32"/>
        </w:rPr>
        <w:t>互联网医疗模式提供在线健康咨询、慢病复诊问诊、慢病在线延方、药品物流配送、名医在线直播、居家用药指导等服务，服务人数已达2余万人，其中二三线城市服务比例达到23%并不断提升，有效解决非中心城市看病难、看病贵等问题，把优质医疗资源通过网络送到全国各地患者面前。</w:t>
      </w:r>
    </w:p>
    <w:p>
      <w:pPr>
        <w:spacing w:line="560" w:lineRule="exact"/>
        <w:ind w:firstLine="640" w:firstLineChars="200"/>
        <w:jc w:val="left"/>
        <w:outlineLvl w:val="0"/>
        <w:rPr>
          <w:rFonts w:eastAsia="黑体"/>
          <w:color w:val="000000"/>
          <w:sz w:val="32"/>
          <w:szCs w:val="32"/>
          <w:shd w:val="clear" w:color="auto" w:fill="FFFFFF"/>
        </w:rPr>
      </w:pPr>
      <w:r>
        <w:rPr>
          <w:rFonts w:eastAsia="黑体"/>
          <w:color w:val="000000"/>
          <w:sz w:val="32"/>
          <w:szCs w:val="32"/>
          <w:shd w:val="clear" w:color="auto" w:fill="FFFFFF"/>
        </w:rPr>
        <w:t xml:space="preserve">三、下一步工作思路  </w:t>
      </w:r>
    </w:p>
    <w:p>
      <w:pPr>
        <w:spacing w:line="560" w:lineRule="exact"/>
        <w:ind w:firstLine="640" w:firstLineChars="200"/>
        <w:jc w:val="left"/>
        <w:rPr>
          <w:rFonts w:eastAsia="仿宋_GB2312"/>
          <w:sz w:val="32"/>
          <w:szCs w:val="32"/>
        </w:rPr>
      </w:pPr>
      <w:r>
        <w:rPr>
          <w:rFonts w:eastAsia="仿宋_GB2312"/>
          <w:sz w:val="32"/>
          <w:szCs w:val="32"/>
        </w:rPr>
        <w:t>下一步，将完成“西安高新互联网医院”线上小程序、生活号建设，打造更完备的支付体系，实现诊前、诊中、诊后全流程打通，使医疗服务更加便捷、高效，树立行业典范，逐步提升创新服务能力，以大数据、人工智能助力搭建覆盖丝路的医疗健康云。</w:t>
      </w:r>
    </w:p>
    <w:p>
      <w:pPr>
        <w:spacing w:line="594" w:lineRule="exact"/>
        <w:rPr>
          <w:rFonts w:hint="eastAsia" w:eastAsia="黑体"/>
          <w:sz w:val="32"/>
          <w:szCs w:val="32"/>
        </w:rPr>
      </w:pPr>
      <w:r>
        <w:rPr>
          <w:rFonts w:eastAsia="黑体"/>
          <w:sz w:val="32"/>
          <w:szCs w:val="32"/>
        </w:rPr>
        <w:br w:type="page"/>
      </w:r>
      <w:r>
        <w:rPr>
          <w:rFonts w:hint="eastAsia" w:ascii="黑体" w:hAnsi="黑体" w:eastAsia="黑体" w:cs="黑体"/>
          <w:sz w:val="32"/>
          <w:szCs w:val="32"/>
        </w:rPr>
        <w:t>案例1</w:t>
      </w:r>
      <w:bookmarkStart w:id="10" w:name="_Toc18427"/>
      <w:r>
        <w:rPr>
          <w:rFonts w:hint="eastAsia" w:ascii="黑体" w:hAnsi="黑体" w:eastAsia="黑体" w:cs="黑体"/>
          <w:sz w:val="32"/>
          <w:szCs w:val="32"/>
        </w:rPr>
        <w:t>0</w:t>
      </w:r>
      <w:bookmarkEnd w:id="10"/>
    </w:p>
    <w:p>
      <w:pPr>
        <w:spacing w:line="594" w:lineRule="exact"/>
        <w:rPr>
          <w:rFonts w:hint="eastAsia" w:eastAsia="黑体"/>
          <w:sz w:val="32"/>
          <w:szCs w:val="32"/>
        </w:rPr>
      </w:pPr>
    </w:p>
    <w:p>
      <w:pPr>
        <w:pStyle w:val="18"/>
        <w:spacing w:line="594" w:lineRule="exact"/>
        <w:ind w:firstLine="0" w:firstLineChars="0"/>
        <w:jc w:val="center"/>
        <w:rPr>
          <w:rFonts w:eastAsia="方正小标宋_GBK"/>
          <w:sz w:val="44"/>
          <w:szCs w:val="44"/>
        </w:rPr>
      </w:pPr>
      <w:bookmarkStart w:id="11" w:name="创新职业农民培训"/>
      <w:r>
        <w:rPr>
          <w:rFonts w:hint="eastAsia" w:ascii="方正小标宋简体" w:hAnsi="方正小标宋简体" w:eastAsia="方正小标宋简体" w:cs="方正小标宋简体"/>
          <w:sz w:val="44"/>
          <w:szCs w:val="44"/>
        </w:rPr>
        <w:fldChar w:fldCharType="begin"/>
      </w:r>
      <w:r>
        <w:rPr>
          <w:rFonts w:hint="eastAsia" w:ascii="方正小标宋简体" w:hAnsi="方正小标宋简体" w:eastAsia="方正小标宋简体" w:cs="方正小标宋简体"/>
          <w:sz w:val="44"/>
          <w:szCs w:val="44"/>
        </w:rPr>
        <w:instrText xml:space="preserve"> HYPERLINK \l "目录" </w:instrText>
      </w:r>
      <w:r>
        <w:rPr>
          <w:rFonts w:hint="eastAsia" w:ascii="方正小标宋简体" w:hAnsi="方正小标宋简体" w:eastAsia="方正小标宋简体" w:cs="方正小标宋简体"/>
          <w:sz w:val="44"/>
          <w:szCs w:val="44"/>
        </w:rPr>
        <w:fldChar w:fldCharType="separate"/>
      </w:r>
      <w:r>
        <w:rPr>
          <w:rStyle w:val="16"/>
          <w:rFonts w:hint="eastAsia" w:ascii="方正小标宋简体" w:hAnsi="方正小标宋简体" w:eastAsia="方正小标宋简体" w:cs="方正小标宋简体"/>
          <w:color w:val="auto"/>
          <w:sz w:val="44"/>
          <w:szCs w:val="44"/>
          <w:u w:val="none"/>
        </w:rPr>
        <w:t>创新职业农民培训</w:t>
      </w:r>
      <w:bookmarkEnd w:id="11"/>
      <w:r>
        <w:rPr>
          <w:rFonts w:hint="eastAsia" w:ascii="方正小标宋简体" w:hAnsi="方正小标宋简体" w:eastAsia="方正小标宋简体" w:cs="方正小标宋简体"/>
          <w:sz w:val="44"/>
          <w:szCs w:val="44"/>
        </w:rPr>
        <w:fldChar w:fldCharType="end"/>
      </w:r>
    </w:p>
    <w:p>
      <w:pPr>
        <w:spacing w:line="594" w:lineRule="exact"/>
        <w:jc w:val="center"/>
        <w:rPr>
          <w:rFonts w:eastAsia="楷体_GB2312"/>
          <w:sz w:val="32"/>
          <w:szCs w:val="32"/>
        </w:rPr>
      </w:pPr>
      <w:r>
        <w:rPr>
          <w:rFonts w:eastAsia="楷体_GB2312"/>
          <w:sz w:val="32"/>
          <w:szCs w:val="32"/>
        </w:rPr>
        <w:t>（自贸试验区杨凌示范区管委会提供）</w:t>
      </w:r>
    </w:p>
    <w:p>
      <w:pPr>
        <w:spacing w:line="594" w:lineRule="exact"/>
        <w:ind w:firstLine="640" w:firstLineChars="200"/>
        <w:rPr>
          <w:rFonts w:eastAsia="仿宋_GB2312"/>
          <w:sz w:val="32"/>
          <w:szCs w:val="32"/>
        </w:rPr>
      </w:pPr>
    </w:p>
    <w:p>
      <w:pPr>
        <w:spacing w:line="560" w:lineRule="exact"/>
        <w:ind w:firstLine="640"/>
        <w:rPr>
          <w:rFonts w:ascii="仿宋_GB2312" w:eastAsia="仿宋_GB2312"/>
          <w:sz w:val="32"/>
          <w:szCs w:val="32"/>
        </w:rPr>
      </w:pPr>
      <w:r>
        <w:rPr>
          <w:rFonts w:hint="eastAsia" w:ascii="仿宋_GB2312" w:eastAsia="仿宋_GB2312"/>
          <w:sz w:val="32"/>
          <w:szCs w:val="32"/>
        </w:rPr>
        <w:t>杨凌片区依托</w:t>
      </w:r>
      <w:r>
        <w:rPr>
          <w:rFonts w:ascii="仿宋_GB2312" w:eastAsia="仿宋_GB2312"/>
          <w:sz w:val="32"/>
          <w:szCs w:val="32"/>
        </w:rPr>
        <w:t>农业科教资源，</w:t>
      </w:r>
      <w:r>
        <w:rPr>
          <w:rFonts w:hint="eastAsia" w:ascii="仿宋_GB2312" w:eastAsia="仿宋_GB2312"/>
          <w:sz w:val="32"/>
          <w:szCs w:val="32"/>
        </w:rPr>
        <w:t>着力强化人才对现代农业发展的支撑作用，创新培育模式，加快构建新型职业农民队伍，培育了一批爱农业、懂技术、善经营的新型职业农民，为农业现代化建设提供了坚实的人力基础和保障。</w:t>
      </w:r>
    </w:p>
    <w:p>
      <w:pPr>
        <w:spacing w:line="560" w:lineRule="exact"/>
        <w:ind w:firstLine="640" w:firstLineChars="200"/>
        <w:rPr>
          <w:rFonts w:ascii="黑体" w:hAnsi="黑体" w:eastAsia="黑体"/>
          <w:sz w:val="32"/>
          <w:szCs w:val="32"/>
        </w:rPr>
      </w:pPr>
      <w:r>
        <w:rPr>
          <w:rFonts w:hint="eastAsia" w:ascii="黑体" w:hAnsi="黑体" w:eastAsia="黑体"/>
          <w:sz w:val="32"/>
          <w:szCs w:val="32"/>
        </w:rPr>
        <w:t>一、主要做法</w:t>
      </w:r>
    </w:p>
    <w:p>
      <w:pPr>
        <w:spacing w:line="560" w:lineRule="exact"/>
        <w:ind w:firstLine="643" w:firstLineChars="200"/>
        <w:rPr>
          <w:rFonts w:ascii="仿宋_GB2312" w:hAnsi="仿宋" w:eastAsia="仿宋_GB2312"/>
          <w:sz w:val="32"/>
          <w:szCs w:val="32"/>
        </w:rPr>
      </w:pPr>
      <w:r>
        <w:rPr>
          <w:rFonts w:hint="eastAsia" w:ascii="楷体_GB2312" w:hAnsi="楷体_GB2312" w:eastAsia="楷体_GB2312" w:cs="楷体_GB2312"/>
          <w:b/>
          <w:bCs/>
          <w:sz w:val="32"/>
          <w:szCs w:val="32"/>
        </w:rPr>
        <w:t>（一）举办职业农民“务工式”实训。</w:t>
      </w:r>
      <w:r>
        <w:rPr>
          <w:rFonts w:hint="eastAsia" w:ascii="仿宋_GB2312" w:hAnsi="仿宋" w:eastAsia="仿宋_GB2312"/>
          <w:sz w:val="32"/>
          <w:szCs w:val="32"/>
        </w:rPr>
        <w:t>以职业农民创新创业园为平台，在通过生产实践免费为农民普及相关农业技术和经营管理经验的同时，为受训学员每人每月发放3000元劳务报酬，试行“提成奖”激励模式，将受训学员与所管理的责任棚收益挂钩，实现“做给农民看、教会农民干、帮着农民赚”，激发了省内外农民参训的积极性。</w:t>
      </w:r>
    </w:p>
    <w:p>
      <w:pPr>
        <w:spacing w:line="560" w:lineRule="exact"/>
        <w:ind w:firstLine="643" w:firstLineChars="200"/>
        <w:rPr>
          <w:rFonts w:ascii="仿宋_GB2312" w:hAnsi="仿宋" w:eastAsia="仿宋_GB2312"/>
          <w:sz w:val="32"/>
          <w:szCs w:val="32"/>
        </w:rPr>
      </w:pPr>
      <w:r>
        <w:rPr>
          <w:rFonts w:hint="eastAsia" w:ascii="楷体_GB2312" w:hAnsi="楷体_GB2312" w:eastAsia="楷体_GB2312" w:cs="楷体_GB2312"/>
          <w:b/>
          <w:bCs/>
          <w:sz w:val="32"/>
          <w:szCs w:val="32"/>
        </w:rPr>
        <w:t>（二）开展职业农民学历教育。</w:t>
      </w:r>
      <w:r>
        <w:rPr>
          <w:rFonts w:hint="eastAsia" w:ascii="仿宋_GB2312" w:hAnsi="楷体" w:eastAsia="仿宋_GB2312"/>
          <w:sz w:val="32"/>
          <w:szCs w:val="32"/>
        </w:rPr>
        <w:t>依托</w:t>
      </w:r>
      <w:r>
        <w:rPr>
          <w:rFonts w:hint="eastAsia" w:ascii="仿宋_GB2312" w:hAnsi="仿宋" w:eastAsia="仿宋_GB2312"/>
          <w:sz w:val="32"/>
          <w:szCs w:val="32"/>
        </w:rPr>
        <w:t>杨凌职业技术学院开设多个涉农专业，采取“弹性学制、农学交替”的方式，把专业教育与专家田间实地指导紧密结合，实现了理论和实践的有机统一，学员修满规定学分、完成相关生产实践后，为其颁发国家承认的涉农专业大专文凭。</w:t>
      </w:r>
    </w:p>
    <w:p>
      <w:pPr>
        <w:spacing w:line="560" w:lineRule="exact"/>
        <w:ind w:firstLine="643" w:firstLineChars="200"/>
        <w:rPr>
          <w:rFonts w:ascii="仿宋_GB2312" w:hAnsi="仿宋" w:eastAsia="仿宋_GB2312"/>
          <w:sz w:val="32"/>
          <w:szCs w:val="32"/>
          <w:u w:val="single"/>
        </w:rPr>
      </w:pPr>
      <w:r>
        <w:rPr>
          <w:rFonts w:hint="eastAsia" w:ascii="楷体_GB2312" w:hAnsi="楷体_GB2312" w:eastAsia="楷体_GB2312" w:cs="楷体_GB2312"/>
          <w:b/>
          <w:bCs/>
          <w:sz w:val="32"/>
          <w:szCs w:val="32"/>
        </w:rPr>
        <w:t>（三）推行职业农民职称认定。</w:t>
      </w:r>
      <w:r>
        <w:rPr>
          <w:rFonts w:hint="eastAsia" w:ascii="仿宋_GB2312" w:hAnsi="仿宋" w:eastAsia="仿宋_GB2312"/>
          <w:sz w:val="32"/>
          <w:szCs w:val="32"/>
        </w:rPr>
        <w:t>成立了杨凌职业农民培训管理中心，组建了一支百余人的专兼职相结合的培训师资队伍，编制了22门专业职称评定标准，开展高级农技师、农技师和农技员三个等级的技术职称培训和考评工作。自贸试验区成立以来，共有2883名农民获得杨凌示范区农民技术职称证书，获证农民遍布全国22个省112个地市。</w:t>
      </w:r>
    </w:p>
    <w:p>
      <w:pPr>
        <w:spacing w:line="560" w:lineRule="exact"/>
        <w:ind w:firstLine="643" w:firstLineChars="200"/>
        <w:rPr>
          <w:rFonts w:ascii="黑体" w:hAnsi="黑体" w:eastAsia="黑体"/>
          <w:b/>
          <w:sz w:val="32"/>
          <w:szCs w:val="32"/>
        </w:rPr>
      </w:pPr>
      <w:r>
        <w:rPr>
          <w:rFonts w:hint="eastAsia" w:ascii="楷体_GB2312" w:hAnsi="楷体_GB2312" w:eastAsia="楷体_GB2312" w:cs="楷体_GB2312"/>
          <w:b/>
          <w:bCs/>
          <w:sz w:val="32"/>
          <w:szCs w:val="32"/>
        </w:rPr>
        <w:t>（四）拓展职业农民海外培训。</w:t>
      </w:r>
      <w:r>
        <w:rPr>
          <w:rFonts w:hint="eastAsia" w:ascii="仿宋_GB2312" w:hAnsi="仿宋" w:eastAsia="仿宋_GB2312"/>
          <w:sz w:val="32"/>
          <w:szCs w:val="32"/>
        </w:rPr>
        <w:t>设立职业农民海外培训专项资金，将有一定产业规模，懂技术、会经营、有文化的农业大户、家庭农场主、农民专业合作社骨干等作为培训对象，有针对性地组织其赴国外培训，帮助农民增长见识、学习本领，将国外的先进技术和经营理念推广应用到生产实践中。自贸试验区成立以来，已组织四批次共55名职业农民先后赴美国、以色列、荷兰和日本等国开展专题学习培训。</w:t>
      </w:r>
      <w:r>
        <w:rPr>
          <w:rFonts w:hint="eastAsia" w:ascii="黑体" w:hAnsi="黑体" w:eastAsia="黑体"/>
          <w:b/>
          <w:sz w:val="32"/>
          <w:szCs w:val="32"/>
        </w:rPr>
        <w:t xml:space="preserve">   </w:t>
      </w:r>
    </w:p>
    <w:p>
      <w:pPr>
        <w:spacing w:line="560" w:lineRule="exact"/>
        <w:rPr>
          <w:rFonts w:ascii="黑体" w:hAnsi="黑体" w:eastAsia="黑体"/>
          <w:bCs/>
          <w:sz w:val="32"/>
          <w:szCs w:val="32"/>
        </w:rPr>
      </w:pPr>
      <w:r>
        <w:rPr>
          <w:rFonts w:hint="eastAsia" w:ascii="黑体" w:hAnsi="黑体" w:eastAsia="黑体"/>
          <w:bCs/>
          <w:sz w:val="32"/>
          <w:szCs w:val="32"/>
        </w:rPr>
        <w:t xml:space="preserve">    二、实践效果</w:t>
      </w:r>
    </w:p>
    <w:p>
      <w:pPr>
        <w:spacing w:line="560" w:lineRule="exact"/>
        <w:ind w:firstLine="640"/>
        <w:rPr>
          <w:rFonts w:ascii="仿宋_GB2312" w:hAnsi="仿宋" w:eastAsia="仿宋_GB2312"/>
          <w:sz w:val="32"/>
          <w:szCs w:val="32"/>
        </w:rPr>
      </w:pPr>
      <w:r>
        <w:rPr>
          <w:rFonts w:hint="eastAsia" w:ascii="仿宋_GB2312" w:hAnsi="仿宋" w:eastAsia="仿宋_GB2312"/>
          <w:sz w:val="32"/>
          <w:szCs w:val="32"/>
        </w:rPr>
        <w:t>近年来，杨凌片区为西部12个省共培养了5000余名新型职业农民，大批获得学历和职业农民职称认定的学员得到了当地政府和农民专业合作社的高度认可和欢迎，成为活跃在田间地头的“土专家”和科技“二传手”。由已结业的2000余名学员组成的“杨凌女子嫁接服务队”，每年受邀赴新疆、甘肃、宁夏、青海、山西等地推广嫁接技术；学员李根庆远赴吉尔吉斯斯坦担任农业技术员，指导当地农民果树栽培和果园管理；学员李栓苏长期担任太白县农业科技园区技术专家，并获得2项发明专利。</w:t>
      </w:r>
    </w:p>
    <w:p>
      <w:pPr>
        <w:spacing w:line="560" w:lineRule="exact"/>
        <w:ind w:firstLine="640" w:firstLineChars="200"/>
        <w:rPr>
          <w:rFonts w:ascii="黑体" w:hAnsi="黑体" w:eastAsia="黑体"/>
          <w:bCs/>
          <w:sz w:val="32"/>
          <w:szCs w:val="32"/>
        </w:rPr>
      </w:pPr>
      <w:r>
        <w:rPr>
          <w:rFonts w:hint="eastAsia" w:ascii="黑体" w:hAnsi="黑体" w:eastAsia="黑体"/>
          <w:bCs/>
          <w:sz w:val="32"/>
          <w:szCs w:val="32"/>
        </w:rPr>
        <w:t>三、下一步工作思路</w:t>
      </w:r>
    </w:p>
    <w:p>
      <w:pPr>
        <w:spacing w:line="560" w:lineRule="exact"/>
        <w:rPr>
          <w:rFonts w:ascii="黑体" w:hAnsi="黑体" w:eastAsia="黑体" w:cs="方正小标宋简体"/>
          <w:bCs/>
          <w:sz w:val="32"/>
          <w:szCs w:val="32"/>
        </w:rPr>
      </w:pPr>
      <w:r>
        <w:rPr>
          <w:rFonts w:hint="eastAsia" w:ascii="仿宋_GB2312" w:hAnsi="仿宋" w:eastAsia="仿宋_GB2312"/>
          <w:sz w:val="32"/>
          <w:szCs w:val="32"/>
        </w:rPr>
        <w:t xml:space="preserve">    进一步推进田间学堂、网络学堂等建设；完善农民学历教育体系，建立职业农民认定管理制度及支持政策体系；加大职业农民“走出去”力度，扩大遴选范围，优化培训模式，不断提高新型职业农民培育的针对性和有效性。</w:t>
      </w:r>
    </w:p>
    <w:p>
      <w:pPr>
        <w:spacing w:line="594" w:lineRule="exact"/>
        <w:ind w:firstLine="640" w:firstLineChars="200"/>
        <w:rPr>
          <w:rFonts w:eastAsia="仿宋_GB2312"/>
          <w:sz w:val="32"/>
          <w:szCs w:val="32"/>
        </w:rPr>
      </w:pPr>
    </w:p>
    <w:p>
      <w:pPr>
        <w:spacing w:line="594" w:lineRule="exact"/>
        <w:rPr>
          <w:rFonts w:eastAsia="黑体"/>
          <w:sz w:val="32"/>
          <w:szCs w:val="32"/>
        </w:rPr>
      </w:pPr>
      <w:r>
        <w:rPr>
          <w:rFonts w:eastAsia="黑体"/>
          <w:sz w:val="32"/>
          <w:szCs w:val="32"/>
        </w:rPr>
        <w:br w:type="page"/>
      </w:r>
      <w:r>
        <w:rPr>
          <w:rFonts w:hint="eastAsia" w:ascii="黑体" w:hAnsi="黑体" w:eastAsia="黑体" w:cs="黑体"/>
          <w:sz w:val="32"/>
          <w:szCs w:val="32"/>
        </w:rPr>
        <w:t>案例11</w:t>
      </w:r>
    </w:p>
    <w:p>
      <w:pPr>
        <w:spacing w:line="594" w:lineRule="exact"/>
        <w:rPr>
          <w:rFonts w:eastAsia="黑体"/>
          <w:sz w:val="32"/>
          <w:szCs w:val="32"/>
        </w:rPr>
      </w:pPr>
    </w:p>
    <w:p>
      <w:pPr>
        <w:pStyle w:val="3"/>
        <w:keepNext w:val="0"/>
        <w:keepLines w:val="0"/>
        <w:spacing w:before="0" w:after="0" w:line="594" w:lineRule="exact"/>
        <w:jc w:val="center"/>
        <w:rPr>
          <w:rFonts w:hint="eastAsia" w:ascii="方正小标宋简体" w:hAnsi="方正小标宋简体" w:eastAsia="方正小标宋简体" w:cs="方正小标宋简体"/>
        </w:rPr>
      </w:pPr>
      <w:bookmarkStart w:id="12" w:name="_Toc22097"/>
      <w:bookmarkStart w:id="13" w:name="农村一二三产业融合发展模式"/>
      <w:r>
        <w:rPr>
          <w:rFonts w:hint="eastAsia" w:ascii="方正小标宋简体" w:hAnsi="方正小标宋简体" w:eastAsia="方正小标宋简体" w:cs="方正小标宋简体"/>
        </w:rPr>
        <w:fldChar w:fldCharType="begin"/>
      </w:r>
      <w:r>
        <w:rPr>
          <w:rFonts w:hint="eastAsia" w:ascii="方正小标宋简体" w:hAnsi="方正小标宋简体" w:eastAsia="方正小标宋简体" w:cs="方正小标宋简体"/>
        </w:rPr>
        <w:instrText xml:space="preserve"> HYPERLINK \l "目录" </w:instrText>
      </w:r>
      <w:r>
        <w:rPr>
          <w:rFonts w:hint="eastAsia" w:ascii="方正小标宋简体" w:hAnsi="方正小标宋简体" w:eastAsia="方正小标宋简体" w:cs="方正小标宋简体"/>
        </w:rPr>
        <w:fldChar w:fldCharType="separate"/>
      </w:r>
      <w:r>
        <w:rPr>
          <w:rStyle w:val="16"/>
          <w:rFonts w:hint="eastAsia" w:ascii="方正小标宋简体" w:hAnsi="方正小标宋简体" w:eastAsia="方正小标宋简体" w:cs="方正小标宋简体"/>
          <w:color w:val="auto"/>
          <w:u w:val="none"/>
        </w:rPr>
        <w:t>农村一二三产业融合发展模式</w:t>
      </w:r>
      <w:bookmarkEnd w:id="12"/>
      <w:bookmarkEnd w:id="13"/>
      <w:r>
        <w:rPr>
          <w:rFonts w:hint="eastAsia" w:ascii="方正小标宋简体" w:hAnsi="方正小标宋简体" w:eastAsia="方正小标宋简体" w:cs="方正小标宋简体"/>
        </w:rPr>
        <w:fldChar w:fldCharType="end"/>
      </w:r>
    </w:p>
    <w:p>
      <w:pPr>
        <w:spacing w:line="594" w:lineRule="exact"/>
        <w:jc w:val="center"/>
        <w:rPr>
          <w:rFonts w:eastAsia="楷体_GB2312"/>
          <w:sz w:val="32"/>
          <w:szCs w:val="32"/>
        </w:rPr>
      </w:pPr>
      <w:r>
        <w:rPr>
          <w:rFonts w:eastAsia="楷体_GB2312"/>
          <w:sz w:val="32"/>
          <w:szCs w:val="32"/>
        </w:rPr>
        <w:t>（自贸试验区杨凌示范区管委会提供）</w:t>
      </w:r>
    </w:p>
    <w:p>
      <w:pPr>
        <w:spacing w:line="594" w:lineRule="exact"/>
        <w:ind w:firstLine="640" w:firstLineChars="200"/>
        <w:rPr>
          <w:rFonts w:eastAsia="仿宋"/>
          <w:sz w:val="32"/>
          <w:szCs w:val="32"/>
        </w:rPr>
      </w:pPr>
    </w:p>
    <w:p>
      <w:pPr>
        <w:spacing w:line="56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sz w:val="32"/>
          <w:szCs w:val="32"/>
        </w:rPr>
        <w:t>杨凌片区引进涉农龙头企业，通过“连锁基地+中央厨房+多渠道销售”的模式，促进了农村一二三产业融合发展，实现了农业增效、农民增收。</w:t>
      </w:r>
    </w:p>
    <w:p>
      <w:pPr>
        <w:spacing w:line="560" w:lineRule="exact"/>
        <w:ind w:firstLine="640" w:firstLineChars="200"/>
        <w:rPr>
          <w:rFonts w:ascii="黑体" w:hAnsi="黑体" w:eastAsia="黑体" w:cs="黑体"/>
          <w:b/>
          <w:bCs/>
          <w:sz w:val="32"/>
          <w:szCs w:val="32"/>
        </w:rPr>
      </w:pPr>
      <w:r>
        <w:rPr>
          <w:rFonts w:hint="eastAsia" w:ascii="黑体" w:hAnsi="黑体" w:eastAsia="黑体" w:cs="黑体"/>
          <w:sz w:val="32"/>
          <w:szCs w:val="32"/>
        </w:rPr>
        <w:t>一、主要做法</w:t>
      </w:r>
    </w:p>
    <w:p>
      <w:pPr>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（一）发展连锁基地。</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建立“公司+农业专业合作社＋农户”的联合机制，通过订单采购的方式，推动上游生产同种产品的农户组成农业专业合作社，实现规模化标准化种植。目前，连锁基地已在全国设立2197家，土地规模达300万亩，总产值近50亿元。</w:t>
      </w:r>
    </w:p>
    <w:p>
      <w:pPr>
        <w:numPr>
          <w:ilvl w:val="0"/>
          <w:numId w:val="6"/>
        </w:numPr>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建设中央厨房。</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对接不同市场需求，在上海、深圳、广州、佛山设立4处中央厨房，完成农产品分拣、净菜和半成品加工、熟食加工等工序，形成统采统配格局，由销售原材料变为销售产品，提高农产品转化率和附加值。</w:t>
      </w:r>
    </w:p>
    <w:p>
      <w:pPr>
        <w:numPr>
          <w:ilvl w:val="0"/>
          <w:numId w:val="7"/>
        </w:numPr>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完善销售渠道。</w:t>
      </w:r>
    </w:p>
    <w:p>
      <w:pPr>
        <w:spacing w:line="560" w:lineRule="exact"/>
        <w:ind w:firstLine="640" w:firstLineChars="200"/>
        <w:rPr>
          <w:rFonts w:ascii="仿宋" w:hAnsi="仿宋" w:eastAsia="仿宋" w:cs="仿宋"/>
          <w:sz w:val="32"/>
          <w:szCs w:val="32"/>
        </w:rPr>
      </w:pPr>
      <w:r>
        <w:rPr>
          <w:rFonts w:hint="eastAsia" w:ascii="仿宋_GB2312" w:hAnsi="仿宋_GB2312" w:eastAsia="仿宋_GB2312" w:cs="仿宋_GB2312"/>
          <w:sz w:val="32"/>
          <w:szCs w:val="32"/>
        </w:rPr>
        <w:t>整合生鲜食材配送供应链，建立14个标准食材加工集散中心，采取农超对接、农批对接、农餐对接方式，有针对性地满足了不同市场需求。目前，已形成日供食材食品1100多万人、日配营养餐700多万人的食用规模。</w:t>
      </w:r>
      <w:r>
        <w:rPr>
          <w:rFonts w:hint="eastAsia" w:ascii="仿宋" w:hAnsi="仿宋" w:eastAsia="仿宋" w:cs="仿宋"/>
          <w:sz w:val="32"/>
          <w:szCs w:val="32"/>
        </w:rPr>
        <w:t xml:space="preserve"> </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二、实践效果</w:t>
      </w:r>
    </w:p>
    <w:p>
      <w:pPr>
        <w:spacing w:line="560" w:lineRule="exact"/>
        <w:rPr>
          <w:rFonts w:ascii="仿宋_GB2312" w:hAnsi="仿宋_GB2312" w:eastAsia="仿宋_GB2312" w:cs="仿宋_GB2312"/>
          <w:sz w:val="32"/>
          <w:szCs w:val="32"/>
        </w:rPr>
      </w:pPr>
      <w:r>
        <w:rPr>
          <w:rFonts w:hint="eastAsia" w:ascii="仿宋" w:hAnsi="仿宋" w:eastAsia="仿宋" w:cs="仿宋"/>
          <w:sz w:val="32"/>
          <w:szCs w:val="32"/>
        </w:rPr>
        <w:t xml:space="preserve">   </w:t>
      </w:r>
      <w:r>
        <w:rPr>
          <w:rFonts w:hint="eastAsia" w:ascii="仿宋_GB2312" w:hAnsi="仿宋_GB2312" w:eastAsia="仿宋_GB2312" w:cs="仿宋_GB2312"/>
          <w:sz w:val="32"/>
          <w:szCs w:val="32"/>
        </w:rPr>
        <w:t xml:space="preserve"> 杨凌片区一二三产业融合模式有效解决了传统农业无种植计划、无仓储设施、无加工环节、无市场对接等方面的问题，降低了农产品收储运环节损耗，提高了农户议价能力，增加了农产品附加值。以茄子种植户为例，一个大棚一季生产茄子8000斤，在普通市场销售，有近2000斤因卖相不好未能进入市场，如每斤茄子按平均价1.5元计算，实际纯收入约为9000元。加入基地连锁模式后，卖相不好的茄子通过中央厨房切片、油煎等方式加工后，全部走向消费终端，农户的实际纯收入可达12000元，一年按三季种植计算，共计增收9000元，极大地调动了农民参与的积极性。</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三、下一步工作思路</w:t>
      </w:r>
    </w:p>
    <w:p>
      <w:pPr>
        <w:spacing w:line="560" w:lineRule="exact"/>
        <w:rPr>
          <w:rFonts w:ascii="仿宋_GB2312" w:hAnsi="仿宋_GB2312" w:eastAsia="仿宋_GB2312" w:cs="仿宋_GB2312"/>
          <w:sz w:val="32"/>
          <w:szCs w:val="32"/>
        </w:rPr>
      </w:pPr>
      <w:r>
        <w:rPr>
          <w:rFonts w:hint="eastAsia" w:ascii="仿宋" w:hAnsi="仿宋" w:eastAsia="仿宋" w:cs="仿宋"/>
          <w:sz w:val="32"/>
          <w:szCs w:val="32"/>
        </w:rPr>
        <w:t xml:space="preserve">    </w:t>
      </w:r>
      <w:r>
        <w:rPr>
          <w:rFonts w:hint="eastAsia" w:ascii="仿宋_GB2312" w:hAnsi="仿宋_GB2312" w:eastAsia="仿宋_GB2312" w:cs="仿宋_GB2312"/>
          <w:sz w:val="32"/>
          <w:szCs w:val="32"/>
        </w:rPr>
        <w:t>进一步完善和优化三产融合发展模式，逐步在天津、固原、信阳、乌兰察布等地建设基地，扩大基地连锁的生产规模。依托杨凌农科资源优势，持续完善农业技术体系、打造农资农技相关服务的供应链、提供农业增值服务等，促进三产融合发展。</w:t>
      </w:r>
    </w:p>
    <w:p>
      <w:pPr>
        <w:spacing w:line="594" w:lineRule="exact"/>
        <w:ind w:firstLine="640" w:firstLineChars="200"/>
        <w:rPr>
          <w:rFonts w:eastAsia="仿宋_GB2312"/>
          <w:sz w:val="32"/>
          <w:szCs w:val="32"/>
        </w:rPr>
      </w:pPr>
    </w:p>
    <w:p>
      <w:pPr>
        <w:spacing w:line="594" w:lineRule="exact"/>
        <w:rPr>
          <w:rFonts w:eastAsia="黑体"/>
          <w:sz w:val="32"/>
          <w:szCs w:val="32"/>
        </w:rPr>
      </w:pPr>
    </w:p>
    <w:p>
      <w:pPr>
        <w:spacing w:line="594" w:lineRule="exact"/>
        <w:rPr>
          <w:rFonts w:eastAsia="黑体"/>
          <w:sz w:val="32"/>
          <w:szCs w:val="32"/>
        </w:rPr>
      </w:pPr>
      <w:r>
        <w:rPr>
          <w:rFonts w:eastAsia="黑体"/>
          <w:sz w:val="32"/>
          <w:szCs w:val="32"/>
        </w:rPr>
        <w:br w:type="page"/>
      </w:r>
      <w:r>
        <w:rPr>
          <w:rFonts w:hint="eastAsia" w:ascii="黑体" w:hAnsi="黑体" w:eastAsia="黑体" w:cs="黑体"/>
          <w:sz w:val="32"/>
          <w:szCs w:val="32"/>
        </w:rPr>
        <w:t>案例12</w:t>
      </w:r>
    </w:p>
    <w:p>
      <w:pPr>
        <w:spacing w:line="594" w:lineRule="exact"/>
        <w:rPr>
          <w:rFonts w:eastAsia="黑体"/>
          <w:sz w:val="32"/>
          <w:szCs w:val="32"/>
        </w:rPr>
      </w:pPr>
    </w:p>
    <w:p>
      <w:pPr>
        <w:pStyle w:val="3"/>
        <w:keepNext w:val="0"/>
        <w:keepLines w:val="0"/>
        <w:spacing w:before="0" w:after="0" w:line="594" w:lineRule="exact"/>
        <w:jc w:val="center"/>
        <w:rPr>
          <w:rFonts w:eastAsia="方正小标宋_GBK"/>
          <w:szCs w:val="40"/>
        </w:rPr>
      </w:pPr>
      <w:bookmarkStart w:id="14" w:name="_Toc7344"/>
      <w:bookmarkStart w:id="15" w:name="多元化农业保险助推现代农业发展"/>
      <w:r>
        <w:rPr>
          <w:rFonts w:hint="eastAsia" w:ascii="方正小标宋简体" w:hAnsi="方正小标宋简体" w:eastAsia="方正小标宋简体" w:cs="方正小标宋简体"/>
          <w:szCs w:val="40"/>
        </w:rPr>
        <w:fldChar w:fldCharType="begin"/>
      </w:r>
      <w:r>
        <w:rPr>
          <w:rFonts w:hint="eastAsia" w:ascii="方正小标宋简体" w:hAnsi="方正小标宋简体" w:eastAsia="方正小标宋简体" w:cs="方正小标宋简体"/>
          <w:szCs w:val="40"/>
        </w:rPr>
        <w:instrText xml:space="preserve"> HYPERLINK \l "目录" </w:instrText>
      </w:r>
      <w:r>
        <w:rPr>
          <w:rFonts w:hint="eastAsia" w:ascii="方正小标宋简体" w:hAnsi="方正小标宋简体" w:eastAsia="方正小标宋简体" w:cs="方正小标宋简体"/>
          <w:szCs w:val="40"/>
        </w:rPr>
        <w:fldChar w:fldCharType="separate"/>
      </w:r>
      <w:r>
        <w:rPr>
          <w:rStyle w:val="16"/>
          <w:rFonts w:hint="eastAsia" w:ascii="方正小标宋简体" w:hAnsi="方正小标宋简体" w:eastAsia="方正小标宋简体" w:cs="方正小标宋简体"/>
          <w:color w:val="auto"/>
          <w:szCs w:val="40"/>
          <w:u w:val="none"/>
        </w:rPr>
        <w:t>多元化农业保险</w:t>
      </w:r>
      <w:bookmarkEnd w:id="14"/>
      <w:r>
        <w:rPr>
          <w:rStyle w:val="16"/>
          <w:rFonts w:hint="eastAsia" w:ascii="方正小标宋简体" w:hAnsi="方正小标宋简体" w:eastAsia="方正小标宋简体" w:cs="方正小标宋简体"/>
          <w:color w:val="auto"/>
          <w:szCs w:val="40"/>
          <w:u w:val="none"/>
        </w:rPr>
        <w:t>助推现代农业发展</w:t>
      </w:r>
      <w:bookmarkEnd w:id="15"/>
      <w:r>
        <w:rPr>
          <w:rFonts w:hint="eastAsia" w:ascii="方正小标宋简体" w:hAnsi="方正小标宋简体" w:eastAsia="方正小标宋简体" w:cs="方正小标宋简体"/>
          <w:szCs w:val="40"/>
        </w:rPr>
        <w:fldChar w:fldCharType="end"/>
      </w:r>
    </w:p>
    <w:p>
      <w:pPr>
        <w:spacing w:line="594" w:lineRule="exact"/>
        <w:jc w:val="center"/>
        <w:rPr>
          <w:rFonts w:eastAsia="楷体_GB2312"/>
          <w:sz w:val="32"/>
          <w:szCs w:val="32"/>
        </w:rPr>
      </w:pPr>
      <w:r>
        <w:rPr>
          <w:rFonts w:eastAsia="楷体_GB2312"/>
          <w:sz w:val="32"/>
          <w:szCs w:val="32"/>
        </w:rPr>
        <w:t>（自贸试验区杨凌示范区管委会提供）</w:t>
      </w:r>
    </w:p>
    <w:p>
      <w:pPr>
        <w:spacing w:line="594" w:lineRule="exact"/>
        <w:ind w:firstLine="640"/>
        <w:rPr>
          <w:rFonts w:eastAsia="仿宋_GB2312"/>
          <w:sz w:val="32"/>
          <w:szCs w:val="32"/>
        </w:rPr>
      </w:pPr>
    </w:p>
    <w:p>
      <w:pPr>
        <w:spacing w:line="560" w:lineRule="exact"/>
        <w:ind w:firstLine="640" w:firstLineChars="200"/>
        <w:rPr>
          <w:rFonts w:ascii="仿宋_GB2312" w:hAnsi="仿宋" w:eastAsia="仿宋_GB2312"/>
          <w:sz w:val="32"/>
          <w:szCs w:val="32"/>
        </w:rPr>
      </w:pPr>
      <w:r>
        <w:rPr>
          <w:rFonts w:hint="eastAsia" w:ascii="仿宋_GB2312" w:hAnsi="仿宋" w:eastAsia="仿宋_GB2312"/>
          <w:sz w:val="32"/>
          <w:szCs w:val="32"/>
        </w:rPr>
        <w:t>杨凌片区高度重视农业保险对农业生产的支撑作用，创新保险品种，增强风险保障，提升服务水平，积极扩大保险覆盖面，探索构建多元化农业保险服务体系，有效化解了农业风险，稳定了农业生产，推动现代农业高质量发展。</w:t>
      </w:r>
    </w:p>
    <w:p>
      <w:pPr>
        <w:spacing w:line="560" w:lineRule="exact"/>
        <w:ind w:firstLine="640" w:firstLineChars="200"/>
        <w:rPr>
          <w:rFonts w:ascii="黑体" w:hAnsi="黑体" w:eastAsia="黑体" w:cs="黑体"/>
          <w:sz w:val="32"/>
          <w:szCs w:val="32"/>
        </w:rPr>
      </w:pPr>
      <w:bookmarkStart w:id="16" w:name="_Toc8697_WPSOffice_Level1"/>
      <w:r>
        <w:rPr>
          <w:rFonts w:hint="eastAsia" w:ascii="黑体" w:hAnsi="黑体" w:eastAsia="黑体" w:cs="黑体"/>
          <w:sz w:val="32"/>
          <w:szCs w:val="32"/>
        </w:rPr>
        <w:t>一、主要做法</w:t>
      </w:r>
      <w:bookmarkEnd w:id="16"/>
    </w:p>
    <w:p>
      <w:pPr>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（一）创新农业保险品种。</w:t>
      </w:r>
    </w:p>
    <w:p>
      <w:pPr>
        <w:spacing w:line="560" w:lineRule="exact"/>
        <w:ind w:firstLine="640" w:firstLineChars="200"/>
        <w:rPr>
          <w:rFonts w:ascii="仿宋_GB2312" w:hAnsi="仿宋" w:eastAsia="仿宋_GB2312"/>
          <w:sz w:val="32"/>
          <w:szCs w:val="32"/>
        </w:rPr>
      </w:pPr>
      <w:r>
        <w:rPr>
          <w:rFonts w:hint="eastAsia" w:ascii="仿宋_GB2312" w:hAnsi="仿宋" w:eastAsia="仿宋_GB2312"/>
          <w:sz w:val="32"/>
          <w:szCs w:val="32"/>
        </w:rPr>
        <w:t>一是从保农户收入出发，推出了农产品收入保险。针对农产品收入受多种不确定因素影响，导致保险机构不愿承保的实际，人保财险杨凌支公司与西北农林科技大学合作推出了果蔬收入保险，通过科学厘定保险费率，合理拟定保险条款，实现了农业保险由成本保障向收入保障转变，进一步提高了保险的保障水平。二是从发展地方特色农业产业出发，推出“银保富”系列保险品种。通过试点“银保富”大棚、水果价格指数保险、“玉米价格+期货”等15个特色险种，为杨凌发展特色农业产业提供支撑。三是从满足农业生产经营主体不同需求出发，推出个性化定制保险品种。如针对肉牛养殖企业，有针对性地开发了繁育肉牛等险种，满足了个性化需求，扩大了保险覆盖面。</w:t>
      </w:r>
    </w:p>
    <w:p>
      <w:pPr>
        <w:numPr>
          <w:ilvl w:val="0"/>
          <w:numId w:val="8"/>
        </w:numPr>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构建保险网络平台。</w:t>
      </w:r>
    </w:p>
    <w:p>
      <w:pPr>
        <w:spacing w:line="560" w:lineRule="exact"/>
        <w:ind w:firstLine="640" w:firstLineChars="200"/>
        <w:rPr>
          <w:rFonts w:ascii="仿宋_GB2312" w:hAnsi="仿宋" w:eastAsia="仿宋_GB2312"/>
          <w:sz w:val="32"/>
          <w:szCs w:val="32"/>
        </w:rPr>
      </w:pPr>
      <w:r>
        <w:rPr>
          <w:rFonts w:hint="eastAsia" w:ascii="仿宋_GB2312" w:hAnsi="仿宋" w:eastAsia="仿宋_GB2312"/>
          <w:sz w:val="32"/>
          <w:szCs w:val="32"/>
        </w:rPr>
        <w:t>在重点乡村设立“三农”保险服务办公室和服务站，设立了村级保险服务点，组建了农村保险协调员队伍，形成“镇镇有网点，村村有人员”的保险服务网络格局，使各类农业主体足不出户就可以知晓、办理农业保险业务。近年来，先后为当地8万多户农民提供了便捷周到的承保、理赔等服务，打通了保险服务的“最后一公里”。</w:t>
      </w:r>
    </w:p>
    <w:p>
      <w:pPr>
        <w:numPr>
          <w:ilvl w:val="0"/>
          <w:numId w:val="9"/>
        </w:numPr>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推进险资支农融资。</w:t>
      </w:r>
    </w:p>
    <w:p>
      <w:pPr>
        <w:spacing w:line="560" w:lineRule="exact"/>
        <w:ind w:firstLine="640" w:firstLineChars="200"/>
        <w:rPr>
          <w:rFonts w:ascii="仿宋_GB2312" w:hAnsi="仿宋" w:eastAsia="仿宋_GB2312"/>
          <w:sz w:val="32"/>
          <w:szCs w:val="32"/>
        </w:rPr>
      </w:pPr>
      <w:r>
        <w:rPr>
          <w:rFonts w:hint="eastAsia" w:ascii="仿宋_GB2312" w:hAnsi="仿宋" w:eastAsia="仿宋_GB2312"/>
          <w:sz w:val="32"/>
          <w:szCs w:val="32"/>
        </w:rPr>
        <w:t>实行“政府政策支持+保险资金融资+保险风险保障”运行模式，由保险公司直接向农户发放贷款，无担保、无抵押，融资额度最高可达1000万元；融资期限一般为6-12个月，最长可达3年，贷款利息比其他融资机构低3-4个百分点，有效破解了农民融资难、融资贵的问题。</w:t>
      </w:r>
    </w:p>
    <w:p>
      <w:pPr>
        <w:numPr>
          <w:ilvl w:val="0"/>
          <w:numId w:val="10"/>
        </w:numPr>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提升保险服务水平。</w:t>
      </w:r>
    </w:p>
    <w:p>
      <w:pPr>
        <w:spacing w:line="560" w:lineRule="exact"/>
        <w:ind w:firstLine="640" w:firstLineChars="200"/>
        <w:rPr>
          <w:rFonts w:ascii="仿宋_GB2312" w:hAnsi="仿宋" w:eastAsia="仿宋_GB2312"/>
          <w:sz w:val="32"/>
          <w:szCs w:val="32"/>
        </w:rPr>
      </w:pPr>
      <w:r>
        <w:rPr>
          <w:rFonts w:hint="eastAsia" w:ascii="仿宋_GB2312" w:hAnsi="仿宋" w:eastAsia="仿宋_GB2312"/>
          <w:sz w:val="32"/>
          <w:szCs w:val="32"/>
        </w:rPr>
        <w:t>通过“农业保险+3S”（遥感技术、地理信息系统、全球定位系统），推进保险理赔承保智能化。将地理信息、遥感技术应用于种植业承保理赔，探索出了“按图承保，按图理赔”的农业保险经营新模式。应用人工智能技术，通过动物脸和耳标识别等实现远程定损理赔，减少了理赔程序，加快了理赔速度，帮助参保农户及时恢复再生产。</w:t>
      </w:r>
    </w:p>
    <w:p>
      <w:pPr>
        <w:spacing w:line="560" w:lineRule="exact"/>
        <w:ind w:firstLine="640" w:firstLineChars="200"/>
        <w:rPr>
          <w:rFonts w:ascii="黑体" w:hAnsi="黑体" w:eastAsia="黑体" w:cs="黑体"/>
          <w:sz w:val="32"/>
          <w:szCs w:val="32"/>
        </w:rPr>
      </w:pPr>
      <w:bookmarkStart w:id="17" w:name="_Toc14157_WPSOffice_Level1"/>
      <w:r>
        <w:rPr>
          <w:rFonts w:hint="eastAsia" w:ascii="黑体" w:hAnsi="黑体" w:eastAsia="黑体" w:cs="黑体"/>
          <w:sz w:val="32"/>
          <w:szCs w:val="32"/>
        </w:rPr>
        <w:t>二、实践</w:t>
      </w:r>
      <w:bookmarkEnd w:id="17"/>
      <w:r>
        <w:rPr>
          <w:rFonts w:hint="eastAsia" w:ascii="黑体" w:hAnsi="黑体" w:eastAsia="黑体" w:cs="黑体"/>
          <w:sz w:val="32"/>
          <w:szCs w:val="32"/>
        </w:rPr>
        <w:t>效果</w:t>
      </w:r>
    </w:p>
    <w:p>
      <w:pPr>
        <w:spacing w:line="560" w:lineRule="exact"/>
        <w:ind w:firstLine="640" w:firstLineChars="200"/>
        <w:rPr>
          <w:rFonts w:ascii="仿宋_GB2312" w:hAnsi="仿宋" w:eastAsia="仿宋_GB2312"/>
          <w:sz w:val="32"/>
          <w:szCs w:val="32"/>
        </w:rPr>
      </w:pPr>
      <w:r>
        <w:rPr>
          <w:rFonts w:hint="eastAsia" w:ascii="仿宋_GB2312" w:hAnsi="仿宋" w:eastAsia="仿宋_GB2312"/>
          <w:sz w:val="32"/>
          <w:szCs w:val="32"/>
        </w:rPr>
        <w:t>杨凌片区通过建立多元化的保险服务体系，满足了农业经营主体的多元化需求，从源头保障了农业生产经营主体的基本收益，降低了生产经营风险，发挥了“兜底”功能，为现代农业高质量发展注入了新动能。自贸试验区成立以来，承担农业经营风险7.28亿元，累计赔款2988万元，通过险资支农为参加农业保险的农户和涉农企业提供保险信贷融资约1500万元，有5万余户农业生产经营主体通过保险直接受益。同时，人保杨凌支公司发挥保单增信作用，涉农企业用农业资产抵押贷款，每年可撬动银行资金3.45亿元，有效解决了农业生产经营主体融资难、融资贵的问题。</w:t>
      </w:r>
    </w:p>
    <w:p>
      <w:pPr>
        <w:spacing w:line="560" w:lineRule="exact"/>
        <w:ind w:firstLine="640" w:firstLineChars="200"/>
        <w:rPr>
          <w:rFonts w:ascii="黑体" w:hAnsi="黑体" w:eastAsia="黑体" w:cs="黑体"/>
          <w:sz w:val="32"/>
          <w:szCs w:val="32"/>
        </w:rPr>
      </w:pPr>
      <w:bookmarkStart w:id="18" w:name="_Toc4269_WPSOffice_Level1"/>
      <w:r>
        <w:rPr>
          <w:rFonts w:hint="eastAsia" w:ascii="黑体" w:hAnsi="黑体" w:eastAsia="黑体" w:cs="黑体"/>
          <w:sz w:val="32"/>
          <w:szCs w:val="32"/>
        </w:rPr>
        <w:t>三、下一步工作思路</w:t>
      </w:r>
      <w:bookmarkEnd w:id="18"/>
    </w:p>
    <w:p>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继续开展农业保险示范创新，试行气象指数、价格指数、农业科技研发和推广等保险产品。探索生物可变动资产抵押</w:t>
      </w:r>
      <w:r>
        <w:rPr>
          <w:rFonts w:hint="eastAsia" w:ascii="仿宋_GB2312" w:hAnsi="仿宋" w:eastAsia="仿宋_GB2312"/>
          <w:sz w:val="32"/>
          <w:szCs w:val="32"/>
        </w:rPr>
        <w:t>贷款，</w:t>
      </w:r>
      <w:r>
        <w:rPr>
          <w:rFonts w:hint="eastAsia" w:ascii="仿宋_GB2312" w:hAnsi="仿宋" w:eastAsia="仿宋_GB2312" w:cs="仿宋"/>
          <w:sz w:val="32"/>
          <w:szCs w:val="32"/>
        </w:rPr>
        <w:t>支持农业保险承办机构通过农产品期货、期权等优化风险管理。利用农业云平台，整合计量种植成本、产量、品质、库存、销售等农业生产数据，形成“智慧农业+金融保险服务”新模式。</w:t>
      </w:r>
    </w:p>
    <w:p>
      <w:pPr>
        <w:spacing w:line="594" w:lineRule="exact"/>
        <w:ind w:firstLine="640"/>
        <w:rPr>
          <w:rFonts w:eastAsia="仿宋_GB2312"/>
          <w:color w:val="000000"/>
          <w:sz w:val="32"/>
          <w:szCs w:val="32"/>
        </w:rPr>
      </w:pPr>
    </w:p>
    <w:p>
      <w:pPr>
        <w:spacing w:line="594" w:lineRule="exact"/>
        <w:ind w:firstLine="640"/>
        <w:rPr>
          <w:rFonts w:eastAsia="仿宋_GB2312"/>
          <w:sz w:val="32"/>
          <w:szCs w:val="32"/>
        </w:rPr>
      </w:pPr>
    </w:p>
    <w:p>
      <w:pPr>
        <w:spacing w:line="594" w:lineRule="exact"/>
        <w:rPr>
          <w:rFonts w:eastAsia="黑体"/>
          <w:sz w:val="32"/>
          <w:szCs w:val="32"/>
        </w:rPr>
      </w:pPr>
      <w:r>
        <w:rPr>
          <w:rFonts w:eastAsia="黑体"/>
          <w:sz w:val="32"/>
          <w:szCs w:val="32"/>
        </w:rPr>
        <w:br w:type="page"/>
      </w:r>
      <w:r>
        <w:rPr>
          <w:rFonts w:hint="eastAsia" w:ascii="黑体" w:hAnsi="黑体" w:eastAsia="黑体" w:cs="黑体"/>
          <w:sz w:val="32"/>
          <w:szCs w:val="32"/>
        </w:rPr>
        <w:t>案例13</w:t>
      </w:r>
    </w:p>
    <w:p>
      <w:pPr>
        <w:pStyle w:val="18"/>
        <w:spacing w:line="594" w:lineRule="exact"/>
        <w:ind w:firstLine="420"/>
      </w:pPr>
    </w:p>
    <w:p>
      <w:pPr>
        <w:pStyle w:val="3"/>
        <w:keepNext w:val="0"/>
        <w:keepLines w:val="0"/>
        <w:spacing w:before="0" w:after="0" w:line="594" w:lineRule="exact"/>
        <w:jc w:val="center"/>
        <w:rPr>
          <w:rFonts w:hint="eastAsia" w:ascii="方正小标宋简体" w:hAnsi="方正小标宋简体" w:eastAsia="方正小标宋简体" w:cs="方正小标宋简体"/>
          <w:szCs w:val="40"/>
        </w:rPr>
      </w:pPr>
      <w:bookmarkStart w:id="19" w:name="农产品质量安全保障新机制"/>
      <w:bookmarkStart w:id="20" w:name="_Toc12210"/>
      <w:r>
        <w:rPr>
          <w:rFonts w:hint="eastAsia" w:ascii="方正小标宋简体" w:hAnsi="方正小标宋简体" w:eastAsia="方正小标宋简体" w:cs="方正小标宋简体"/>
          <w:szCs w:val="40"/>
        </w:rPr>
        <w:fldChar w:fldCharType="begin"/>
      </w:r>
      <w:r>
        <w:rPr>
          <w:rFonts w:hint="eastAsia" w:ascii="方正小标宋简体" w:hAnsi="方正小标宋简体" w:eastAsia="方正小标宋简体" w:cs="方正小标宋简体"/>
          <w:szCs w:val="40"/>
        </w:rPr>
        <w:instrText xml:space="preserve"> HYPERLINK \l "目录" </w:instrText>
      </w:r>
      <w:r>
        <w:rPr>
          <w:rFonts w:hint="eastAsia" w:ascii="方正小标宋简体" w:hAnsi="方正小标宋简体" w:eastAsia="方正小标宋简体" w:cs="方正小标宋简体"/>
          <w:szCs w:val="40"/>
        </w:rPr>
        <w:fldChar w:fldCharType="separate"/>
      </w:r>
      <w:r>
        <w:rPr>
          <w:rStyle w:val="16"/>
          <w:rFonts w:hint="eastAsia" w:ascii="方正小标宋简体" w:hAnsi="方正小标宋简体" w:eastAsia="方正小标宋简体" w:cs="方正小标宋简体"/>
          <w:color w:val="auto"/>
          <w:szCs w:val="40"/>
          <w:u w:val="none"/>
        </w:rPr>
        <w:t>农产品质量安全保障新机制</w:t>
      </w:r>
      <w:bookmarkEnd w:id="19"/>
      <w:bookmarkEnd w:id="20"/>
      <w:r>
        <w:rPr>
          <w:rFonts w:hint="eastAsia" w:ascii="方正小标宋简体" w:hAnsi="方正小标宋简体" w:eastAsia="方正小标宋简体" w:cs="方正小标宋简体"/>
          <w:szCs w:val="40"/>
        </w:rPr>
        <w:fldChar w:fldCharType="end"/>
      </w:r>
    </w:p>
    <w:p>
      <w:pPr>
        <w:spacing w:line="594" w:lineRule="exact"/>
        <w:jc w:val="center"/>
        <w:rPr>
          <w:rFonts w:eastAsia="楷体_GB2312"/>
          <w:sz w:val="32"/>
          <w:szCs w:val="32"/>
        </w:rPr>
      </w:pPr>
      <w:r>
        <w:rPr>
          <w:rFonts w:eastAsia="楷体_GB2312"/>
          <w:sz w:val="32"/>
          <w:szCs w:val="32"/>
        </w:rPr>
        <w:t>（自贸试验区杨凌示范区管委会提供）</w:t>
      </w:r>
    </w:p>
    <w:p>
      <w:pPr>
        <w:spacing w:line="594" w:lineRule="exact"/>
        <w:ind w:firstLine="641"/>
        <w:rPr>
          <w:rFonts w:eastAsia="仿宋_GB2312"/>
          <w:sz w:val="32"/>
          <w:szCs w:val="32"/>
        </w:rPr>
      </w:pPr>
    </w:p>
    <w:p>
      <w:pPr>
        <w:spacing w:line="560" w:lineRule="exact"/>
        <w:ind w:firstLine="641"/>
        <w:rPr>
          <w:rFonts w:ascii="仿宋_GB2312" w:hAnsi="仿宋_GB2312" w:eastAsia="仿宋_GB2312" w:cs="仿宋_GB2312"/>
          <w:sz w:val="32"/>
          <w:szCs w:val="32"/>
        </w:rPr>
      </w:pPr>
      <w:r>
        <w:rPr>
          <w:rFonts w:hint="eastAsia" w:ascii="仿宋_GB2312" w:hAnsi="仿宋" w:eastAsia="仿宋_GB2312" w:cs="仿宋"/>
          <w:sz w:val="32"/>
          <w:szCs w:val="32"/>
        </w:rPr>
        <w:t>杨凌片区坚持按标准生产、加强原产地环境治理和生产源头管理，不断提升绿色安全优质农产品的供给能力</w:t>
      </w:r>
      <w:r>
        <w:rPr>
          <w:rFonts w:hint="eastAsia" w:ascii="仿宋_GB2312" w:hAnsi="仿宋_GB2312" w:eastAsia="仿宋_GB2312" w:cs="仿宋_GB2312"/>
          <w:sz w:val="32"/>
          <w:szCs w:val="32"/>
        </w:rPr>
        <w:t>，探索出一套保障人民群众“舌尖上安全”的新机制。</w:t>
      </w:r>
    </w:p>
    <w:p>
      <w:pPr>
        <w:spacing w:line="560" w:lineRule="exact"/>
        <w:rPr>
          <w:rFonts w:ascii="黑体" w:hAnsi="黑体" w:eastAsia="黑体"/>
          <w:sz w:val="32"/>
          <w:szCs w:val="32"/>
        </w:rPr>
      </w:pPr>
      <w:r>
        <w:rPr>
          <w:rFonts w:hint="eastAsia" w:ascii="黑体" w:hAnsi="黑体" w:eastAsia="黑体"/>
          <w:sz w:val="32"/>
          <w:szCs w:val="32"/>
        </w:rPr>
        <w:t xml:space="preserve">     一、主要做法</w:t>
      </w:r>
    </w:p>
    <w:p>
      <w:pPr>
        <w:numPr>
          <w:ilvl w:val="0"/>
          <w:numId w:val="11"/>
        </w:numPr>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推进农业标准化生产管理。</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建立了现代农业产业标准化研究推广服务中心，在杨凌片区先行试点确定了11个标准化生产“核心示范基地”，在每个基地遴选3-5个标准化示范户加以扶持，形成“基地带动示范户、示范户带动农户”的农业标准化推广新模式。目前，标准化种植已覆盖杨凌近76%的农户。</w:t>
      </w:r>
    </w:p>
    <w:p>
      <w:pPr>
        <w:numPr>
          <w:ilvl w:val="0"/>
          <w:numId w:val="12"/>
        </w:numPr>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构建标准化闭环管理体系。</w:t>
      </w:r>
    </w:p>
    <w:p>
      <w:pPr>
        <w:spacing w:line="560" w:lineRule="exact"/>
        <w:ind w:firstLine="640" w:firstLineChars="200"/>
        <w:rPr>
          <w:rFonts w:ascii="仿宋_GB2312" w:eastAsia="仿宋_GB2312"/>
          <w:color w:val="FF0000"/>
          <w:sz w:val="32"/>
          <w:szCs w:val="32"/>
        </w:rPr>
      </w:pPr>
      <w:r>
        <w:rPr>
          <w:rFonts w:hint="eastAsia" w:ascii="仿宋_GB2312" w:hAnsi="楷体" w:eastAsia="仿宋_GB2312"/>
          <w:sz w:val="32"/>
          <w:szCs w:val="32"/>
        </w:rPr>
        <w:t>建立“生产有记录，流向可追踪，质量可追溯，责任可界定”的</w:t>
      </w:r>
      <w:r>
        <w:rPr>
          <w:rFonts w:hint="eastAsia" w:ascii="仿宋_GB2312" w:hAnsi="仿宋_GB2312" w:eastAsia="仿宋_GB2312" w:cs="仿宋_GB2312"/>
          <w:sz w:val="32"/>
          <w:szCs w:val="32"/>
        </w:rPr>
        <w:t>全域覆盖农产品质量安全追溯体系，通过“四位一体”快速检测网络（区域检测中心、合作社检测室、公共监测站、流动检测车）和智慧农业一体化工程（涵盖病虫害防控、施肥用药数据管理、土壤环境监测、气象检测系统、农时日志系统、水肥一体化系统），确保对农产品质量安全精准管理,同时优化筛选并面向</w:t>
      </w:r>
      <w:r>
        <w:rPr>
          <w:rFonts w:ascii="仿宋_GB2312" w:hAnsi="仿宋_GB2312" w:eastAsia="仿宋_GB2312" w:cs="仿宋_GB2312"/>
          <w:sz w:val="32"/>
          <w:szCs w:val="32"/>
        </w:rPr>
        <w:t>西部地区</w:t>
      </w:r>
      <w:r>
        <w:rPr>
          <w:rFonts w:hint="eastAsia" w:ascii="仿宋_GB2312" w:hAnsi="仿宋_GB2312" w:eastAsia="仿宋_GB2312" w:cs="仿宋_GB2312"/>
          <w:sz w:val="32"/>
          <w:szCs w:val="32"/>
        </w:rPr>
        <w:t>推荐农产品标准，增加杨凌模式农产品区域标准的有效供给，并构建以随机检查、比对评估，事中、事后监管为主的闭环管理模式，实现了农业标准化与企业质量信用有机结合，从</w:t>
      </w:r>
      <w:r>
        <w:rPr>
          <w:rFonts w:ascii="仿宋_GB2312" w:hAnsi="仿宋_GB2312" w:eastAsia="仿宋_GB2312" w:cs="仿宋_GB2312"/>
          <w:sz w:val="32"/>
          <w:szCs w:val="32"/>
        </w:rPr>
        <w:t>源头上</w:t>
      </w:r>
      <w:r>
        <w:rPr>
          <w:rFonts w:hint="eastAsia" w:ascii="仿宋_GB2312" w:hAnsi="仿宋_GB2312" w:eastAsia="仿宋_GB2312" w:cs="仿宋_GB2312"/>
          <w:sz w:val="32"/>
          <w:szCs w:val="32"/>
        </w:rPr>
        <w:t>提升农业标准质量和水平。</w:t>
      </w:r>
    </w:p>
    <w:p>
      <w:pPr>
        <w:numPr>
          <w:ilvl w:val="0"/>
          <w:numId w:val="13"/>
        </w:numPr>
        <w:spacing w:line="560" w:lineRule="exact"/>
        <w:ind w:firstLine="645"/>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突出无害化生物技术研发应用。</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杨凌片区联合西北农林科技大学、中国农业大学、中国科学院等科研院所，以无害化生物技术为核心，持续开展研发与应用，推出生物有机肥、复合微生物肥等5类30余种绿色无公害肥料和</w:t>
      </w:r>
      <w:r>
        <w:rPr>
          <w:rFonts w:hint="eastAsia" w:ascii="仿宋_GB2312" w:eastAsia="仿宋_GB2312" w:cs="黑体"/>
          <w:sz w:val="32"/>
          <w:szCs w:val="32"/>
        </w:rPr>
        <w:t>多种生物源农药</w:t>
      </w:r>
      <w:r>
        <w:rPr>
          <w:rFonts w:hint="eastAsia" w:ascii="仿宋_GB2312" w:hAnsi="仿宋_GB2312" w:eastAsia="仿宋_GB2312" w:cs="仿宋_GB2312"/>
          <w:sz w:val="32"/>
          <w:szCs w:val="32"/>
        </w:rPr>
        <w:t>，有效满足了无害化生产的需求。</w:t>
      </w:r>
    </w:p>
    <w:p>
      <w:pPr>
        <w:numPr>
          <w:ilvl w:val="0"/>
          <w:numId w:val="14"/>
        </w:numPr>
        <w:spacing w:line="560" w:lineRule="exact"/>
        <w:ind w:firstLine="645"/>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打造农产品质量安全杨凌品牌。</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推出了“杨凌农科”品牌，对符合种植规范和质量标准的产品，赋予其“杨凌农科”品牌使用权，并通过保护价收购、优质优价机制等模式，使标准化生产和追溯产品价值充分体现，有效提升了农产品质量安全。</w:t>
      </w:r>
    </w:p>
    <w:p>
      <w:pPr>
        <w:spacing w:line="560" w:lineRule="exact"/>
        <w:rPr>
          <w:rFonts w:ascii="黑体" w:hAnsi="黑体" w:eastAsia="黑体"/>
          <w:sz w:val="32"/>
          <w:szCs w:val="32"/>
        </w:rPr>
      </w:pPr>
      <w:r>
        <w:rPr>
          <w:rFonts w:hint="eastAsia" w:ascii="黑体" w:hAnsi="黑体" w:eastAsia="黑体"/>
          <w:sz w:val="32"/>
          <w:szCs w:val="32"/>
        </w:rPr>
        <w:t xml:space="preserve">    二、实践效果</w:t>
      </w:r>
    </w:p>
    <w:p>
      <w:pPr>
        <w:spacing w:line="560" w:lineRule="exact"/>
        <w:ind w:firstLine="646"/>
        <w:rPr>
          <w:rFonts w:ascii="仿宋_GB2312" w:hAnsi="仿宋" w:eastAsia="仿宋_GB2312"/>
          <w:color w:val="FF0000"/>
          <w:sz w:val="32"/>
          <w:szCs w:val="32"/>
        </w:rPr>
      </w:pPr>
      <w:r>
        <w:rPr>
          <w:rFonts w:hint="eastAsia" w:ascii="仿宋_GB2312" w:hAnsi="仿宋" w:eastAsia="仿宋_GB2312"/>
          <w:sz w:val="32"/>
          <w:szCs w:val="32"/>
        </w:rPr>
        <w:t>近年来，杨凌农产品先后被抽检30000多个批次，合格率达到99%以上，未发生过一起农业安全事故。“杨凌农科”系列农产品远销国内外中高端市场，区内农产品产量、销量、价格分别上浮33.5%、27.9%和68.9%，调动了农民按标准种植、按要求管理的积极性，</w:t>
      </w:r>
      <w:r>
        <w:rPr>
          <w:rFonts w:hint="eastAsia" w:ascii="仿宋_GB2312" w:hAnsi="仿宋_GB2312" w:eastAsia="仿宋_GB2312" w:cs="仿宋_GB2312"/>
          <w:sz w:val="32"/>
          <w:szCs w:val="32"/>
        </w:rPr>
        <w:t>保障了农产品质量安全。杨凌农产品质量安全保障新模式</w:t>
      </w:r>
      <w:r>
        <w:rPr>
          <w:rFonts w:ascii="仿宋_GB2312" w:hAnsi="仿宋_GB2312" w:eastAsia="仿宋_GB2312" w:cs="仿宋_GB2312"/>
          <w:sz w:val="32"/>
          <w:szCs w:val="32"/>
        </w:rPr>
        <w:t>已经在20个国家级、省级农业标准化示范区（基地）</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西部</w:t>
      </w:r>
      <w:r>
        <w:rPr>
          <w:rFonts w:hint="eastAsia" w:ascii="仿宋_GB2312" w:hAnsi="仿宋_GB2312" w:eastAsia="仿宋_GB2312" w:cs="仿宋_GB2312"/>
          <w:sz w:val="32"/>
          <w:szCs w:val="32"/>
        </w:rPr>
        <w:t>多个市县复制</w:t>
      </w:r>
      <w:r>
        <w:rPr>
          <w:rFonts w:ascii="仿宋_GB2312" w:hAnsi="仿宋_GB2312" w:eastAsia="仿宋_GB2312" w:cs="仿宋_GB2312"/>
          <w:sz w:val="32"/>
          <w:szCs w:val="32"/>
        </w:rPr>
        <w:t>推广</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提高了农户对于农业标准化的认可与支持</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复制推广的</w:t>
      </w:r>
      <w:r>
        <w:rPr>
          <w:rFonts w:hint="eastAsia" w:ascii="仿宋_GB2312" w:hAnsi="仿宋_GB2312" w:eastAsia="仿宋_GB2312" w:cs="仿宋_GB2312"/>
          <w:sz w:val="32"/>
          <w:szCs w:val="32"/>
        </w:rPr>
        <w:t>市县</w:t>
      </w:r>
      <w:r>
        <w:rPr>
          <w:rFonts w:ascii="仿宋_GB2312" w:hAnsi="仿宋_GB2312" w:eastAsia="仿宋_GB2312" w:cs="仿宋_GB2312"/>
          <w:sz w:val="32"/>
          <w:szCs w:val="32"/>
        </w:rPr>
        <w:t>农业</w:t>
      </w:r>
      <w:r>
        <w:rPr>
          <w:rFonts w:hint="eastAsia" w:ascii="仿宋_GB2312" w:hAnsi="仿宋_GB2312" w:eastAsia="仿宋_GB2312" w:cs="仿宋_GB2312"/>
          <w:sz w:val="32"/>
          <w:szCs w:val="32"/>
        </w:rPr>
        <w:t>生产</w:t>
      </w:r>
      <w:r>
        <w:rPr>
          <w:rFonts w:ascii="仿宋_GB2312" w:hAnsi="仿宋_GB2312" w:eastAsia="仿宋_GB2312" w:cs="仿宋_GB2312"/>
          <w:sz w:val="32"/>
          <w:szCs w:val="32"/>
        </w:rPr>
        <w:t>标准化率已</w:t>
      </w:r>
      <w:r>
        <w:rPr>
          <w:rFonts w:hint="eastAsia" w:ascii="仿宋_GB2312" w:hAnsi="仿宋_GB2312" w:eastAsia="仿宋_GB2312" w:cs="仿宋_GB2312"/>
          <w:sz w:val="32"/>
          <w:szCs w:val="32"/>
        </w:rPr>
        <w:t>达</w:t>
      </w:r>
      <w:r>
        <w:rPr>
          <w:rFonts w:ascii="仿宋_GB2312" w:hAnsi="仿宋_GB2312" w:eastAsia="仿宋_GB2312" w:cs="仿宋_GB2312"/>
          <w:sz w:val="32"/>
          <w:szCs w:val="32"/>
        </w:rPr>
        <w:t>到</w:t>
      </w:r>
      <w:r>
        <w:rPr>
          <w:rFonts w:hint="eastAsia" w:ascii="仿宋_GB2312" w:hAnsi="仿宋_GB2312" w:eastAsia="仿宋_GB2312" w:cs="仿宋_GB2312"/>
          <w:sz w:val="32"/>
          <w:szCs w:val="32"/>
        </w:rPr>
        <w:t>30</w:t>
      </w:r>
      <w:r>
        <w:rPr>
          <w:rFonts w:ascii="仿宋_GB2312" w:hAnsi="仿宋_GB2312" w:eastAsia="仿宋_GB2312" w:cs="仿宋_GB2312"/>
          <w:sz w:val="32"/>
          <w:szCs w:val="32"/>
        </w:rPr>
        <w:t>%。</w:t>
      </w:r>
    </w:p>
    <w:p>
      <w:pPr>
        <w:spacing w:line="560" w:lineRule="exact"/>
        <w:rPr>
          <w:rFonts w:ascii="黑体" w:hAnsi="黑体" w:eastAsia="黑体"/>
          <w:sz w:val="32"/>
          <w:szCs w:val="32"/>
        </w:rPr>
      </w:pPr>
      <w:r>
        <w:rPr>
          <w:rFonts w:hint="eastAsia" w:ascii="仿宋_GB2312" w:hAnsi="仿宋" w:eastAsia="仿宋_GB2312"/>
          <w:sz w:val="32"/>
          <w:szCs w:val="32"/>
        </w:rPr>
        <w:t xml:space="preserve">    </w:t>
      </w:r>
      <w:r>
        <w:rPr>
          <w:rFonts w:hint="eastAsia" w:ascii="黑体" w:hAnsi="黑体" w:eastAsia="黑体"/>
          <w:sz w:val="32"/>
          <w:szCs w:val="32"/>
        </w:rPr>
        <w:t>三、下一步工作思路</w:t>
      </w:r>
    </w:p>
    <w:p>
      <w:pPr>
        <w:spacing w:line="560" w:lineRule="exact"/>
        <w:ind w:firstLine="640" w:firstLineChars="200"/>
        <w:rPr>
          <w:rFonts w:ascii="仿宋_GB2312" w:hAnsi="仿宋" w:eastAsia="仿宋_GB2312"/>
          <w:sz w:val="32"/>
          <w:szCs w:val="32"/>
        </w:rPr>
      </w:pPr>
      <w:r>
        <w:rPr>
          <w:rFonts w:hint="eastAsia" w:ascii="仿宋_GB2312" w:hAnsi="仿宋" w:eastAsia="仿宋_GB2312"/>
          <w:sz w:val="32"/>
          <w:szCs w:val="32"/>
        </w:rPr>
        <w:t>制定更多符合我国农业生产的标准体系，探索建设集农产品大数据资源库、标准库、物联网应用等为一体的智能系统，引入二维码溯源体系，实现全流程精细化追溯管控，构筑严密的农产品质量安全防护网。</w:t>
      </w:r>
    </w:p>
    <w:p>
      <w:pPr>
        <w:spacing w:line="594" w:lineRule="exact"/>
        <w:ind w:firstLine="640" w:firstLineChars="200"/>
        <w:rPr>
          <w:rFonts w:eastAsia="仿宋_GB2312"/>
          <w:sz w:val="32"/>
          <w:szCs w:val="32"/>
        </w:rPr>
      </w:pPr>
    </w:p>
    <w:p>
      <w:pPr>
        <w:spacing w:line="594" w:lineRule="exact"/>
        <w:rPr>
          <w:rFonts w:eastAsia="黑体"/>
          <w:sz w:val="32"/>
          <w:szCs w:val="32"/>
        </w:rPr>
      </w:pPr>
      <w:bookmarkStart w:id="21" w:name="_Toc533009627"/>
      <w:bookmarkStart w:id="22" w:name="_Toc16523_WPSOffice_Level1"/>
      <w:r>
        <w:rPr>
          <w:rFonts w:eastAsia="仿宋_GB2312"/>
          <w:sz w:val="32"/>
          <w:szCs w:val="32"/>
        </w:rPr>
        <w:br w:type="page"/>
      </w:r>
      <w:bookmarkEnd w:id="21"/>
      <w:bookmarkEnd w:id="22"/>
      <w:r>
        <w:rPr>
          <w:rFonts w:hint="eastAsia" w:ascii="黑体" w:hAnsi="黑体" w:eastAsia="黑体" w:cs="黑体"/>
          <w:sz w:val="32"/>
          <w:szCs w:val="32"/>
        </w:rPr>
        <w:t>案例14</w:t>
      </w:r>
    </w:p>
    <w:p>
      <w:pPr>
        <w:spacing w:line="594" w:lineRule="exact"/>
        <w:rPr>
          <w:rFonts w:eastAsia="黑体"/>
          <w:sz w:val="30"/>
          <w:szCs w:val="30"/>
        </w:rPr>
      </w:pPr>
    </w:p>
    <w:p>
      <w:pPr>
        <w:pStyle w:val="3"/>
        <w:keepNext w:val="0"/>
        <w:keepLines w:val="0"/>
        <w:spacing w:before="0" w:after="0" w:line="594" w:lineRule="exact"/>
        <w:jc w:val="center"/>
        <w:rPr>
          <w:rFonts w:eastAsia="方正小标宋_GBK"/>
          <w:szCs w:val="40"/>
        </w:rPr>
      </w:pPr>
      <w:bookmarkStart w:id="23" w:name="“五项核心技术”助推设施农业转型升级"/>
      <w:bookmarkStart w:id="24" w:name="_Toc26599"/>
      <w:r>
        <w:rPr>
          <w:rFonts w:hint="eastAsia" w:ascii="方正小标宋简体" w:hAnsi="方正小标宋简体" w:eastAsia="方正小标宋简体" w:cs="方正小标宋简体"/>
          <w:szCs w:val="40"/>
        </w:rPr>
        <w:fldChar w:fldCharType="begin"/>
      </w:r>
      <w:r>
        <w:rPr>
          <w:rFonts w:hint="eastAsia" w:ascii="方正小标宋简体" w:hAnsi="方正小标宋简体" w:eastAsia="方正小标宋简体" w:cs="方正小标宋简体"/>
          <w:szCs w:val="40"/>
        </w:rPr>
        <w:instrText xml:space="preserve"> HYPERLINK \l "目录2" </w:instrText>
      </w:r>
      <w:r>
        <w:rPr>
          <w:rFonts w:hint="eastAsia" w:ascii="方正小标宋简体" w:hAnsi="方正小标宋简体" w:eastAsia="方正小标宋简体" w:cs="方正小标宋简体"/>
          <w:szCs w:val="40"/>
        </w:rPr>
        <w:fldChar w:fldCharType="separate"/>
      </w:r>
      <w:r>
        <w:rPr>
          <w:rStyle w:val="16"/>
          <w:rFonts w:hint="eastAsia" w:ascii="方正小标宋简体" w:hAnsi="方正小标宋简体" w:eastAsia="方正小标宋简体" w:cs="方正小标宋简体"/>
          <w:color w:val="auto"/>
          <w:szCs w:val="40"/>
          <w:u w:val="none"/>
        </w:rPr>
        <w:t>“五项核心技术”助推设施农业转型升级</w:t>
      </w:r>
      <w:bookmarkEnd w:id="23"/>
      <w:bookmarkEnd w:id="24"/>
      <w:r>
        <w:rPr>
          <w:rFonts w:hint="eastAsia" w:ascii="方正小标宋简体" w:hAnsi="方正小标宋简体" w:eastAsia="方正小标宋简体" w:cs="方正小标宋简体"/>
          <w:szCs w:val="40"/>
        </w:rPr>
        <w:fldChar w:fldCharType="end"/>
      </w:r>
    </w:p>
    <w:p>
      <w:pPr>
        <w:spacing w:line="594" w:lineRule="exact"/>
        <w:jc w:val="center"/>
        <w:rPr>
          <w:rFonts w:eastAsia="楷体_GB2312"/>
          <w:sz w:val="32"/>
          <w:szCs w:val="32"/>
        </w:rPr>
      </w:pPr>
      <w:r>
        <w:rPr>
          <w:rFonts w:eastAsia="楷体_GB2312"/>
          <w:sz w:val="32"/>
          <w:szCs w:val="32"/>
        </w:rPr>
        <w:t>（自贸试验区杨凌示范区管委会提供）</w:t>
      </w:r>
    </w:p>
    <w:p>
      <w:pPr>
        <w:spacing w:line="594" w:lineRule="exact"/>
        <w:ind w:firstLine="640" w:firstLineChars="200"/>
        <w:rPr>
          <w:rFonts w:eastAsia="仿宋_GB2312"/>
          <w:sz w:val="32"/>
          <w:szCs w:val="32"/>
        </w:rPr>
      </w:pPr>
    </w:p>
    <w:p>
      <w:pPr>
        <w:spacing w:line="560" w:lineRule="exact"/>
        <w:ind w:firstLine="640" w:firstLineChars="200"/>
        <w:rPr>
          <w:rFonts w:ascii="仿宋_GB2312" w:eastAsia="仿宋_GB2312" w:cs="黑体"/>
          <w:sz w:val="32"/>
          <w:szCs w:val="32"/>
        </w:rPr>
      </w:pPr>
      <w:r>
        <w:rPr>
          <w:rFonts w:hint="eastAsia" w:ascii="仿宋_GB2312" w:eastAsia="仿宋_GB2312" w:cs="黑体"/>
          <w:sz w:val="32"/>
          <w:szCs w:val="32"/>
        </w:rPr>
        <w:t>杨凌片区以国家农业“一控”“两减”“三基本”为着力点，整合农业科技资源</w:t>
      </w:r>
      <w:r>
        <w:rPr>
          <w:rFonts w:ascii="仿宋_GB2312" w:eastAsia="仿宋_GB2312" w:cs="黑体"/>
          <w:sz w:val="32"/>
          <w:szCs w:val="32"/>
        </w:rPr>
        <w:t>，</w:t>
      </w:r>
      <w:r>
        <w:rPr>
          <w:rFonts w:hint="eastAsia" w:ascii="仿宋_GB2312" w:eastAsia="仿宋_GB2312" w:cs="黑体"/>
          <w:sz w:val="32"/>
          <w:szCs w:val="32"/>
        </w:rPr>
        <w:t>加强</w:t>
      </w:r>
      <w:r>
        <w:rPr>
          <w:rFonts w:ascii="仿宋_GB2312" w:eastAsia="仿宋_GB2312" w:cs="黑体"/>
          <w:sz w:val="32"/>
          <w:szCs w:val="32"/>
        </w:rPr>
        <w:t>设施</w:t>
      </w:r>
      <w:r>
        <w:rPr>
          <w:rFonts w:hint="eastAsia" w:ascii="仿宋_GB2312" w:eastAsia="仿宋_GB2312" w:cs="黑体"/>
          <w:sz w:val="32"/>
          <w:szCs w:val="32"/>
        </w:rPr>
        <w:t>农业</w:t>
      </w:r>
      <w:r>
        <w:rPr>
          <w:rFonts w:ascii="仿宋_GB2312" w:eastAsia="仿宋_GB2312" w:cs="黑体"/>
          <w:sz w:val="32"/>
          <w:szCs w:val="32"/>
        </w:rPr>
        <w:t>科技</w:t>
      </w:r>
      <w:r>
        <w:rPr>
          <w:rFonts w:hint="eastAsia" w:ascii="仿宋_GB2312" w:eastAsia="仿宋_GB2312" w:cs="黑体"/>
          <w:sz w:val="32"/>
          <w:szCs w:val="32"/>
        </w:rPr>
        <w:t>探索</w:t>
      </w:r>
      <w:r>
        <w:rPr>
          <w:rFonts w:ascii="仿宋_GB2312" w:eastAsia="仿宋_GB2312" w:cs="黑体"/>
          <w:sz w:val="32"/>
          <w:szCs w:val="32"/>
        </w:rPr>
        <w:t>，</w:t>
      </w:r>
      <w:r>
        <w:rPr>
          <w:rFonts w:hint="eastAsia" w:ascii="仿宋_GB2312" w:eastAsia="仿宋_GB2312" w:cs="黑体"/>
          <w:sz w:val="32"/>
          <w:szCs w:val="32"/>
        </w:rPr>
        <w:t>研发出了新型大跨度双拱双膜保温大棚、水肥一体化、基质袋栽培、碳基营养肥及病虫害全程生物防控等新技术，推动了设施农业的转型升级。</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一</w:t>
      </w:r>
      <w:r>
        <w:rPr>
          <w:rFonts w:ascii="黑体" w:hAnsi="黑体" w:eastAsia="黑体" w:cs="黑体"/>
          <w:sz w:val="32"/>
          <w:szCs w:val="32"/>
        </w:rPr>
        <w:t>、</w:t>
      </w:r>
      <w:r>
        <w:rPr>
          <w:rFonts w:hint="eastAsia" w:ascii="黑体" w:hAnsi="黑体" w:eastAsia="黑体" w:cs="黑体"/>
          <w:sz w:val="32"/>
          <w:szCs w:val="32"/>
        </w:rPr>
        <w:t>技术</w:t>
      </w:r>
      <w:r>
        <w:rPr>
          <w:rFonts w:ascii="黑体" w:hAnsi="黑体" w:eastAsia="黑体" w:cs="黑体"/>
          <w:sz w:val="32"/>
          <w:szCs w:val="32"/>
        </w:rPr>
        <w:t>内容</w:t>
      </w:r>
    </w:p>
    <w:p>
      <w:pPr>
        <w:spacing w:line="560" w:lineRule="exact"/>
        <w:ind w:firstLine="643" w:firstLineChars="200"/>
        <w:rPr>
          <w:rFonts w:ascii="仿宋_GB2312" w:eastAsia="仿宋_GB2312" w:cs="黑体"/>
          <w:sz w:val="32"/>
          <w:szCs w:val="32"/>
        </w:rPr>
      </w:pPr>
      <w:r>
        <w:rPr>
          <w:rFonts w:hint="eastAsia" w:ascii="楷体_GB2312" w:hAnsi="楷体_GB2312" w:eastAsia="楷体_GB2312" w:cs="楷体_GB2312"/>
          <w:b/>
          <w:bCs/>
          <w:sz w:val="32"/>
          <w:szCs w:val="32"/>
        </w:rPr>
        <w:t>（一）大跨度大棚建设技术。</w:t>
      </w:r>
      <w:r>
        <w:rPr>
          <w:rFonts w:hint="eastAsia" w:ascii="仿宋_GB2312" w:eastAsia="仿宋_GB2312" w:cs="黑体"/>
          <w:sz w:val="32"/>
          <w:szCs w:val="32"/>
        </w:rPr>
        <w:t>结合</w:t>
      </w:r>
      <w:r>
        <w:rPr>
          <w:rFonts w:ascii="仿宋_GB2312" w:eastAsia="仿宋_GB2312" w:cs="黑体"/>
          <w:sz w:val="32"/>
          <w:szCs w:val="32"/>
        </w:rPr>
        <w:t>我国</w:t>
      </w:r>
      <w:r>
        <w:rPr>
          <w:rFonts w:hint="eastAsia" w:ascii="仿宋_GB2312" w:eastAsia="仿宋_GB2312" w:cs="黑体"/>
          <w:sz w:val="32"/>
          <w:szCs w:val="32"/>
        </w:rPr>
        <w:t>地理</w:t>
      </w:r>
      <w:r>
        <w:rPr>
          <w:rFonts w:ascii="仿宋_GB2312" w:eastAsia="仿宋_GB2312" w:cs="黑体"/>
          <w:sz w:val="32"/>
          <w:szCs w:val="32"/>
        </w:rPr>
        <w:t>特性，研发</w:t>
      </w:r>
      <w:r>
        <w:rPr>
          <w:rFonts w:hint="eastAsia" w:ascii="仿宋_GB2312" w:eastAsia="仿宋_GB2312" w:cs="黑体"/>
          <w:sz w:val="32"/>
          <w:szCs w:val="32"/>
        </w:rPr>
        <w:t>出了新型大跨度双拱双膜保温大棚、非对称大棚和非对称水控酿热大棚。该系列大棚具有空间大、成本低、土地利用率高和便于机械化作业等优点，有效</w:t>
      </w:r>
      <w:r>
        <w:rPr>
          <w:rFonts w:ascii="仿宋_GB2312" w:eastAsia="仿宋_GB2312" w:cs="黑体"/>
          <w:sz w:val="32"/>
          <w:szCs w:val="32"/>
        </w:rPr>
        <w:t>满足</w:t>
      </w:r>
      <w:r>
        <w:rPr>
          <w:rFonts w:hint="eastAsia" w:ascii="仿宋_GB2312" w:eastAsia="仿宋_GB2312" w:cs="黑体"/>
          <w:sz w:val="32"/>
          <w:szCs w:val="32"/>
        </w:rPr>
        <w:t>了冬季</w:t>
      </w:r>
      <w:r>
        <w:rPr>
          <w:rFonts w:ascii="仿宋_GB2312" w:eastAsia="仿宋_GB2312" w:cs="黑体"/>
          <w:sz w:val="32"/>
          <w:szCs w:val="32"/>
        </w:rPr>
        <w:t>作物</w:t>
      </w:r>
      <w:r>
        <w:rPr>
          <w:rFonts w:hint="eastAsia" w:ascii="仿宋_GB2312" w:eastAsia="仿宋_GB2312" w:cs="黑体"/>
          <w:sz w:val="32"/>
          <w:szCs w:val="32"/>
        </w:rPr>
        <w:t>及</w:t>
      </w:r>
      <w:r>
        <w:rPr>
          <w:rFonts w:ascii="仿宋_GB2312" w:eastAsia="仿宋_GB2312" w:cs="黑体"/>
          <w:sz w:val="32"/>
          <w:szCs w:val="32"/>
        </w:rPr>
        <w:t>反季节</w:t>
      </w:r>
      <w:r>
        <w:rPr>
          <w:rFonts w:hint="eastAsia" w:ascii="仿宋_GB2312" w:eastAsia="仿宋_GB2312" w:cs="黑体"/>
          <w:sz w:val="32"/>
          <w:szCs w:val="32"/>
        </w:rPr>
        <w:t>蔬果</w:t>
      </w:r>
      <w:r>
        <w:rPr>
          <w:rFonts w:ascii="仿宋_GB2312" w:eastAsia="仿宋_GB2312" w:cs="黑体"/>
          <w:sz w:val="32"/>
          <w:szCs w:val="32"/>
        </w:rPr>
        <w:t>生长</w:t>
      </w:r>
      <w:r>
        <w:rPr>
          <w:rFonts w:hint="eastAsia" w:ascii="仿宋_GB2312" w:eastAsia="仿宋_GB2312" w:cs="黑体"/>
          <w:sz w:val="32"/>
          <w:szCs w:val="32"/>
        </w:rPr>
        <w:t>的</w:t>
      </w:r>
      <w:r>
        <w:rPr>
          <w:rFonts w:ascii="仿宋_GB2312" w:eastAsia="仿宋_GB2312" w:cs="黑体"/>
          <w:sz w:val="32"/>
          <w:szCs w:val="32"/>
        </w:rPr>
        <w:t>需求。</w:t>
      </w:r>
    </w:p>
    <w:p>
      <w:pPr>
        <w:spacing w:line="560" w:lineRule="exact"/>
        <w:ind w:firstLine="643" w:firstLineChars="200"/>
        <w:rPr>
          <w:rFonts w:ascii="仿宋_GB2312" w:eastAsia="仿宋_GB2312" w:cs="黑体"/>
          <w:sz w:val="32"/>
          <w:szCs w:val="32"/>
        </w:rPr>
      </w:pPr>
      <w:r>
        <w:rPr>
          <w:rFonts w:hint="eastAsia" w:ascii="楷体_GB2312" w:hAnsi="楷体_GB2312" w:eastAsia="楷体_GB2312" w:cs="楷体_GB2312"/>
          <w:b/>
          <w:bCs/>
          <w:sz w:val="32"/>
          <w:szCs w:val="32"/>
        </w:rPr>
        <w:t>（二）设施蔬菜水肥一体化技术。</w:t>
      </w:r>
      <w:r>
        <w:rPr>
          <w:rFonts w:hint="eastAsia" w:ascii="仿宋_GB2312" w:eastAsia="仿宋_GB2312" w:cs="黑体"/>
          <w:sz w:val="32"/>
          <w:szCs w:val="32"/>
        </w:rPr>
        <w:t>将灌溉与施肥融为一体，实现了精准灌溉和施肥，达到了克服设施土壤连作障碍、优化设施蔬菜水分环境的目的，具有节水、节肥和省工等特点。</w:t>
      </w:r>
    </w:p>
    <w:p>
      <w:pPr>
        <w:spacing w:line="560" w:lineRule="exact"/>
        <w:ind w:firstLine="643" w:firstLineChars="200"/>
        <w:rPr>
          <w:rFonts w:ascii="仿宋_GB2312" w:eastAsia="仿宋_GB2312" w:cs="黑体"/>
          <w:sz w:val="32"/>
          <w:szCs w:val="32"/>
        </w:rPr>
      </w:pPr>
      <w:r>
        <w:rPr>
          <w:rFonts w:hint="eastAsia" w:ascii="楷体_GB2312" w:hAnsi="楷体_GB2312" w:eastAsia="楷体_GB2312" w:cs="楷体_GB2312"/>
          <w:b/>
          <w:bCs/>
          <w:sz w:val="32"/>
          <w:szCs w:val="32"/>
        </w:rPr>
        <w:t>（三）基质袋式栽培技术。</w:t>
      </w:r>
      <w:r>
        <w:rPr>
          <w:rFonts w:hint="eastAsia" w:ascii="仿宋_GB2312" w:eastAsia="仿宋_GB2312" w:cs="黑体"/>
          <w:sz w:val="32"/>
          <w:szCs w:val="32"/>
        </w:rPr>
        <w:t>将蔬菜种植在盛有复合基质的PE无域栽培专用袋中进行栽培，作物生长所需的养分来自栽培基质，其余养分通过水肥一体化系统补充。该技术在土地休养、产品质量提升和农业废弃物高效利用等方面具有重要的推广价值。</w:t>
      </w:r>
    </w:p>
    <w:p>
      <w:pPr>
        <w:spacing w:line="560" w:lineRule="exact"/>
        <w:ind w:firstLine="643" w:firstLineChars="200"/>
        <w:rPr>
          <w:rFonts w:ascii="仿宋_GB2312" w:eastAsia="仿宋_GB2312" w:cs="黑体"/>
          <w:sz w:val="32"/>
          <w:szCs w:val="32"/>
        </w:rPr>
      </w:pPr>
      <w:r>
        <w:rPr>
          <w:rFonts w:hint="eastAsia" w:ascii="楷体_GB2312" w:hAnsi="楷体_GB2312" w:eastAsia="楷体_GB2312" w:cs="楷体_GB2312"/>
          <w:b/>
          <w:bCs/>
          <w:sz w:val="32"/>
          <w:szCs w:val="32"/>
        </w:rPr>
        <w:t>（四）植物碳基营养肥料技术。</w:t>
      </w:r>
      <w:r>
        <w:rPr>
          <w:rFonts w:hint="eastAsia" w:ascii="仿宋_GB2312" w:eastAsia="仿宋_GB2312" w:cs="黑体"/>
          <w:sz w:val="32"/>
          <w:szCs w:val="32"/>
        </w:rPr>
        <w:t>依据活性有机物与无机物的配位增效理论，开发出新型碳基营养肥料，减少了化肥使用带来的副作用，达到了作物优质高产并重、营养健康同步和用地养地统一的目的。</w:t>
      </w:r>
    </w:p>
    <w:p>
      <w:pPr>
        <w:spacing w:line="560" w:lineRule="exact"/>
        <w:ind w:firstLine="643" w:firstLineChars="200"/>
        <w:rPr>
          <w:rFonts w:ascii="仿宋_GB2312" w:eastAsia="仿宋_GB2312" w:cs="黑体"/>
          <w:sz w:val="32"/>
          <w:szCs w:val="32"/>
        </w:rPr>
      </w:pPr>
      <w:r>
        <w:rPr>
          <w:rFonts w:hint="eastAsia" w:ascii="楷体_GB2312" w:hAnsi="楷体_GB2312" w:eastAsia="楷体_GB2312" w:cs="楷体_GB2312"/>
          <w:b/>
          <w:bCs/>
          <w:sz w:val="32"/>
          <w:szCs w:val="32"/>
        </w:rPr>
        <w:t>（五）病虫害全程生物防控技术。</w:t>
      </w:r>
      <w:r>
        <w:rPr>
          <w:rFonts w:hint="eastAsia" w:ascii="仿宋_GB2312" w:eastAsia="仿宋_GB2312" w:cs="黑体"/>
          <w:sz w:val="32"/>
          <w:szCs w:val="32"/>
        </w:rPr>
        <w:t>针对主要病虫害发生的关键节点，结合水肥使用管理技术，与多种生物源农药配合使用，从种到收实行全程生物防控，实现了农作物及其产品的“零农残”。</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二</w:t>
      </w:r>
      <w:r>
        <w:rPr>
          <w:rFonts w:ascii="黑体" w:hAnsi="黑体" w:eastAsia="黑体" w:cs="黑体"/>
          <w:sz w:val="32"/>
          <w:szCs w:val="32"/>
        </w:rPr>
        <w:t>、</w:t>
      </w:r>
      <w:r>
        <w:rPr>
          <w:rFonts w:hint="eastAsia" w:ascii="黑体" w:hAnsi="黑体" w:eastAsia="黑体" w:cs="黑体"/>
          <w:sz w:val="32"/>
          <w:szCs w:val="32"/>
        </w:rPr>
        <w:t>实践</w:t>
      </w:r>
      <w:r>
        <w:rPr>
          <w:rFonts w:ascii="黑体" w:hAnsi="黑体" w:eastAsia="黑体" w:cs="黑体"/>
          <w:sz w:val="32"/>
          <w:szCs w:val="32"/>
        </w:rPr>
        <w:t>效果</w:t>
      </w:r>
    </w:p>
    <w:p>
      <w:pPr>
        <w:spacing w:line="560" w:lineRule="exact"/>
        <w:ind w:firstLine="640" w:firstLineChars="200"/>
        <w:rPr>
          <w:rFonts w:ascii="仿宋_GB2312" w:hAnsi="楷体" w:eastAsia="仿宋_GB2312" w:cs="黑体"/>
          <w:sz w:val="32"/>
          <w:szCs w:val="32"/>
        </w:rPr>
      </w:pPr>
      <w:r>
        <w:rPr>
          <w:rFonts w:hint="eastAsia" w:ascii="仿宋_GB2312" w:hAnsi="楷体" w:eastAsia="仿宋_GB2312" w:cs="黑体"/>
          <w:sz w:val="32"/>
          <w:szCs w:val="32"/>
        </w:rPr>
        <w:t>五项</w:t>
      </w:r>
      <w:r>
        <w:rPr>
          <w:rFonts w:ascii="仿宋_GB2312" w:hAnsi="楷体" w:eastAsia="仿宋_GB2312" w:cs="黑体"/>
          <w:sz w:val="32"/>
          <w:szCs w:val="32"/>
        </w:rPr>
        <w:t>核心技术的应用</w:t>
      </w:r>
      <w:r>
        <w:rPr>
          <w:rFonts w:hint="eastAsia" w:ascii="仿宋_GB2312" w:hAnsi="楷体" w:eastAsia="仿宋_GB2312" w:cs="黑体"/>
          <w:sz w:val="32"/>
          <w:szCs w:val="32"/>
        </w:rPr>
        <w:t>使得设施农业规模化程度、机械化程度、土地利用率及劳动效率显著提高，实现了水分高效利用、化肥施用量显著减少、作物秸秆与畜禽粪便等农业废物循环利用、产品品质大幅提高。目前五项</w:t>
      </w:r>
      <w:r>
        <w:rPr>
          <w:rFonts w:ascii="仿宋_GB2312" w:hAnsi="楷体" w:eastAsia="仿宋_GB2312" w:cs="黑体"/>
          <w:sz w:val="32"/>
          <w:szCs w:val="32"/>
        </w:rPr>
        <w:t>核心技术已在</w:t>
      </w:r>
      <w:r>
        <w:rPr>
          <w:rFonts w:hint="eastAsia" w:ascii="仿宋_GB2312" w:hAnsi="楷体" w:eastAsia="仿宋_GB2312" w:cs="黑体"/>
          <w:sz w:val="32"/>
          <w:szCs w:val="32"/>
        </w:rPr>
        <w:t>我国</w:t>
      </w:r>
      <w:r>
        <w:rPr>
          <w:rFonts w:ascii="仿宋_GB2312" w:hAnsi="楷体" w:eastAsia="仿宋_GB2312" w:cs="黑体"/>
          <w:sz w:val="32"/>
          <w:szCs w:val="32"/>
        </w:rPr>
        <w:t>西部</w:t>
      </w:r>
      <w:r>
        <w:rPr>
          <w:rFonts w:hint="eastAsia" w:ascii="仿宋_GB2312" w:hAnsi="楷体" w:eastAsia="仿宋_GB2312" w:cs="黑体"/>
          <w:sz w:val="32"/>
          <w:szCs w:val="32"/>
        </w:rPr>
        <w:t>地区得到有效推广，</w:t>
      </w:r>
      <w:r>
        <w:rPr>
          <w:rFonts w:ascii="仿宋_GB2312" w:hAnsi="楷体" w:eastAsia="仿宋_GB2312" w:cs="黑体"/>
          <w:sz w:val="32"/>
          <w:szCs w:val="32"/>
        </w:rPr>
        <w:t>应用面积</w:t>
      </w:r>
      <w:r>
        <w:rPr>
          <w:rFonts w:hint="eastAsia" w:ascii="仿宋_GB2312" w:hAnsi="楷体" w:eastAsia="仿宋_GB2312" w:cs="黑体"/>
          <w:sz w:val="32"/>
          <w:szCs w:val="32"/>
        </w:rPr>
        <w:t>达</w:t>
      </w:r>
      <w:r>
        <w:rPr>
          <w:rFonts w:ascii="仿宋_GB2312" w:hAnsi="楷体" w:eastAsia="仿宋_GB2312" w:cs="黑体"/>
          <w:sz w:val="32"/>
          <w:szCs w:val="32"/>
        </w:rPr>
        <w:t>30万亩以上，</w:t>
      </w:r>
      <w:r>
        <w:rPr>
          <w:rFonts w:hint="eastAsia" w:ascii="仿宋_GB2312" w:hAnsi="楷体" w:eastAsia="仿宋_GB2312" w:cs="黑体"/>
          <w:sz w:val="32"/>
          <w:szCs w:val="32"/>
        </w:rPr>
        <w:t>蔬菜亩产提高</w:t>
      </w:r>
      <w:r>
        <w:rPr>
          <w:rFonts w:ascii="仿宋_GB2312" w:hAnsi="楷体" w:eastAsia="仿宋_GB2312" w:cs="黑体"/>
          <w:sz w:val="32"/>
          <w:szCs w:val="32"/>
        </w:rPr>
        <w:t>20%以上，水肥利用效率提高40%以上</w:t>
      </w:r>
      <w:r>
        <w:rPr>
          <w:rFonts w:hint="eastAsia" w:ascii="仿宋_GB2312" w:hAnsi="楷体" w:eastAsia="仿宋_GB2312" w:cs="黑体"/>
          <w:sz w:val="32"/>
          <w:szCs w:val="32"/>
        </w:rPr>
        <w:t>，</w:t>
      </w:r>
      <w:r>
        <w:rPr>
          <w:rFonts w:ascii="仿宋_GB2312" w:hAnsi="楷体" w:eastAsia="仿宋_GB2312" w:cs="黑体"/>
          <w:sz w:val="32"/>
          <w:szCs w:val="32"/>
        </w:rPr>
        <w:t>累计增加产值4.75亿元</w:t>
      </w:r>
      <w:r>
        <w:rPr>
          <w:rFonts w:hint="eastAsia" w:ascii="仿宋_GB2312" w:hAnsi="楷体" w:eastAsia="仿宋_GB2312" w:cs="黑体"/>
          <w:sz w:val="32"/>
          <w:szCs w:val="32"/>
        </w:rPr>
        <w:t>。尤其是大跨度大棚建设</w:t>
      </w:r>
      <w:r>
        <w:rPr>
          <w:rFonts w:ascii="仿宋_GB2312" w:hAnsi="楷体" w:eastAsia="仿宋_GB2312" w:cs="黑体"/>
          <w:sz w:val="32"/>
          <w:szCs w:val="32"/>
        </w:rPr>
        <w:t>技术</w:t>
      </w:r>
      <w:r>
        <w:rPr>
          <w:rFonts w:hint="eastAsia" w:ascii="仿宋_GB2312" w:hAnsi="楷体" w:eastAsia="仿宋_GB2312" w:cs="黑体"/>
          <w:sz w:val="32"/>
          <w:szCs w:val="32"/>
        </w:rPr>
        <w:t>的应用，使建造成本</w:t>
      </w:r>
      <w:r>
        <w:rPr>
          <w:rFonts w:ascii="仿宋_GB2312" w:hAnsi="楷体" w:eastAsia="仿宋_GB2312" w:cs="黑体"/>
          <w:sz w:val="32"/>
          <w:szCs w:val="32"/>
        </w:rPr>
        <w:t>较传统</w:t>
      </w:r>
      <w:r>
        <w:rPr>
          <w:rFonts w:hint="eastAsia" w:ascii="仿宋_GB2312" w:hAnsi="楷体" w:eastAsia="仿宋_GB2312" w:cs="黑体"/>
          <w:sz w:val="32"/>
          <w:szCs w:val="32"/>
        </w:rPr>
        <w:t>大棚降低</w:t>
      </w:r>
      <w:r>
        <w:rPr>
          <w:rFonts w:ascii="仿宋_GB2312" w:hAnsi="楷体" w:eastAsia="仿宋_GB2312" w:cs="黑体"/>
          <w:sz w:val="32"/>
          <w:szCs w:val="32"/>
        </w:rPr>
        <w:t>20-40%，土地利用率提高30%以上，</w:t>
      </w:r>
      <w:r>
        <w:rPr>
          <w:rFonts w:hint="eastAsia" w:ascii="仿宋_GB2312" w:hAnsi="楷体" w:eastAsia="仿宋_GB2312" w:cs="黑体"/>
          <w:sz w:val="32"/>
          <w:szCs w:val="32"/>
        </w:rPr>
        <w:t>深受国内外农业经营主体的青睐，大棚技术已出口到哈萨克斯坦、马来西亚、越南等多个国家。</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三、下一步工作思路</w:t>
      </w:r>
    </w:p>
    <w:p>
      <w:pPr>
        <w:spacing w:line="560" w:lineRule="exact"/>
        <w:ind w:firstLine="640" w:firstLineChars="200"/>
        <w:rPr>
          <w:rFonts w:ascii="黑体" w:hAnsi="黑体" w:eastAsia="黑体" w:cs="方正小标宋简体"/>
          <w:bCs/>
          <w:sz w:val="32"/>
          <w:szCs w:val="32"/>
        </w:rPr>
      </w:pPr>
      <w:r>
        <w:rPr>
          <w:rFonts w:hint="eastAsia" w:ascii="仿宋_GB2312" w:hAnsi="楷体" w:eastAsia="仿宋_GB2312" w:cs="黑体"/>
          <w:sz w:val="32"/>
          <w:szCs w:val="32"/>
        </w:rPr>
        <w:t>进一步加大设施农业</w:t>
      </w:r>
      <w:r>
        <w:rPr>
          <w:rFonts w:ascii="仿宋_GB2312" w:hAnsi="楷体" w:eastAsia="仿宋_GB2312" w:cs="黑体"/>
          <w:sz w:val="32"/>
          <w:szCs w:val="32"/>
        </w:rPr>
        <w:t>技术</w:t>
      </w:r>
      <w:r>
        <w:rPr>
          <w:rFonts w:hint="eastAsia" w:ascii="仿宋_GB2312" w:hAnsi="楷体" w:eastAsia="仿宋_GB2312" w:cs="黑体"/>
          <w:sz w:val="32"/>
          <w:szCs w:val="32"/>
        </w:rPr>
        <w:t>推广</w:t>
      </w:r>
      <w:r>
        <w:rPr>
          <w:rFonts w:ascii="仿宋_GB2312" w:hAnsi="楷体" w:eastAsia="仿宋_GB2312" w:cs="黑体"/>
          <w:sz w:val="32"/>
          <w:szCs w:val="32"/>
        </w:rPr>
        <w:t>应用</w:t>
      </w:r>
      <w:r>
        <w:rPr>
          <w:rFonts w:hint="eastAsia" w:ascii="仿宋_GB2312" w:hAnsi="楷体" w:eastAsia="仿宋_GB2312" w:cs="黑体"/>
          <w:sz w:val="32"/>
          <w:szCs w:val="32"/>
        </w:rPr>
        <w:t>，启动设施农业提升工程，</w:t>
      </w:r>
      <w:r>
        <w:rPr>
          <w:rFonts w:ascii="仿宋_GB2312" w:hAnsi="楷体" w:eastAsia="仿宋_GB2312" w:cs="黑体"/>
          <w:sz w:val="32"/>
          <w:szCs w:val="32"/>
        </w:rPr>
        <w:t>开展品种创新、技术创新、装备创新，</w:t>
      </w:r>
      <w:r>
        <w:rPr>
          <w:rFonts w:hint="eastAsia" w:ascii="仿宋_GB2312" w:hAnsi="楷体" w:eastAsia="仿宋_GB2312" w:cs="黑体"/>
          <w:sz w:val="32"/>
          <w:szCs w:val="32"/>
        </w:rPr>
        <w:t>推动杨凌技术“走出去”，</w:t>
      </w:r>
      <w:r>
        <w:rPr>
          <w:rFonts w:ascii="仿宋_GB2312" w:hAnsi="楷体" w:eastAsia="仿宋_GB2312" w:cs="黑体"/>
          <w:sz w:val="32"/>
          <w:szCs w:val="32"/>
        </w:rPr>
        <w:t>助力乡村振兴</w:t>
      </w:r>
      <w:r>
        <w:rPr>
          <w:rFonts w:hint="eastAsia" w:ascii="仿宋_GB2312" w:hAnsi="楷体" w:eastAsia="仿宋_GB2312" w:cs="黑体"/>
          <w:sz w:val="32"/>
          <w:szCs w:val="32"/>
        </w:rPr>
        <w:t>战略</w:t>
      </w:r>
      <w:r>
        <w:rPr>
          <w:rFonts w:ascii="仿宋_GB2312" w:hAnsi="楷体" w:eastAsia="仿宋_GB2312" w:cs="黑体"/>
          <w:sz w:val="32"/>
          <w:szCs w:val="32"/>
        </w:rPr>
        <w:t>目标的实现。</w:t>
      </w:r>
    </w:p>
    <w:p>
      <w:pPr>
        <w:spacing w:line="566" w:lineRule="exact"/>
        <w:ind w:firstLine="640" w:firstLineChars="200"/>
        <w:rPr>
          <w:rFonts w:eastAsia="仿宋_GB2312"/>
          <w:sz w:val="32"/>
          <w:szCs w:val="32"/>
        </w:rPr>
      </w:pPr>
    </w:p>
    <w:p>
      <w:pPr>
        <w:spacing w:line="594" w:lineRule="exact"/>
        <w:rPr>
          <w:rFonts w:eastAsia="黑体"/>
          <w:sz w:val="32"/>
          <w:szCs w:val="32"/>
        </w:rPr>
      </w:pPr>
      <w:r>
        <w:rPr>
          <w:rFonts w:eastAsia="黑体"/>
          <w:sz w:val="32"/>
          <w:szCs w:val="32"/>
        </w:rPr>
        <w:br w:type="page"/>
      </w:r>
      <w:r>
        <w:rPr>
          <w:rFonts w:hint="eastAsia" w:ascii="黑体" w:hAnsi="黑体" w:eastAsia="黑体" w:cs="黑体"/>
          <w:sz w:val="32"/>
          <w:szCs w:val="32"/>
        </w:rPr>
        <w:t>案例15</w:t>
      </w:r>
    </w:p>
    <w:p>
      <w:pPr>
        <w:spacing w:line="594" w:lineRule="exact"/>
        <w:jc w:val="center"/>
        <w:rPr>
          <w:rFonts w:eastAsia="方正小标宋简体"/>
          <w:sz w:val="44"/>
          <w:szCs w:val="44"/>
        </w:rPr>
      </w:pPr>
      <w:bookmarkStart w:id="25" w:name="“一带一路”跨国农业产能合作新模式"/>
    </w:p>
    <w:p>
      <w:pPr>
        <w:spacing w:line="594"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fldChar w:fldCharType="begin"/>
      </w:r>
      <w:r>
        <w:rPr>
          <w:rFonts w:hint="eastAsia" w:ascii="方正小标宋简体" w:hAnsi="方正小标宋简体" w:eastAsia="方正小标宋简体" w:cs="方正小标宋简体"/>
          <w:sz w:val="44"/>
          <w:szCs w:val="44"/>
        </w:rPr>
        <w:instrText xml:space="preserve"> HYPERLINK \l "目录2" </w:instrText>
      </w:r>
      <w:r>
        <w:rPr>
          <w:rFonts w:hint="eastAsia" w:ascii="方正小标宋简体" w:hAnsi="方正小标宋简体" w:eastAsia="方正小标宋简体" w:cs="方正小标宋简体"/>
          <w:sz w:val="44"/>
          <w:szCs w:val="44"/>
        </w:rPr>
        <w:fldChar w:fldCharType="separate"/>
      </w:r>
      <w:r>
        <w:rPr>
          <w:rStyle w:val="16"/>
          <w:rFonts w:hint="eastAsia" w:ascii="方正小标宋简体" w:hAnsi="方正小标宋简体" w:eastAsia="方正小标宋简体" w:cs="方正小标宋简体"/>
          <w:color w:val="auto"/>
          <w:sz w:val="44"/>
          <w:szCs w:val="44"/>
          <w:u w:val="none"/>
        </w:rPr>
        <w:t>“一带一路”跨国农业产能合作新模式</w:t>
      </w:r>
      <w:bookmarkEnd w:id="25"/>
      <w:r>
        <w:rPr>
          <w:rFonts w:hint="eastAsia" w:ascii="方正小标宋简体" w:hAnsi="方正小标宋简体" w:eastAsia="方正小标宋简体" w:cs="方正小标宋简体"/>
          <w:sz w:val="44"/>
          <w:szCs w:val="44"/>
        </w:rPr>
        <w:fldChar w:fldCharType="end"/>
      </w:r>
    </w:p>
    <w:p>
      <w:pPr>
        <w:spacing w:line="594" w:lineRule="exact"/>
        <w:jc w:val="center"/>
        <w:rPr>
          <w:rFonts w:eastAsia="楷体_GB2312"/>
          <w:sz w:val="32"/>
          <w:szCs w:val="32"/>
        </w:rPr>
      </w:pPr>
      <w:r>
        <w:rPr>
          <w:rFonts w:eastAsia="楷体_GB2312"/>
          <w:sz w:val="32"/>
          <w:szCs w:val="32"/>
        </w:rPr>
        <w:t>（自贸试验区杨凌示范区管委会</w:t>
      </w:r>
      <w:r>
        <w:rPr>
          <w:rFonts w:hint="eastAsia" w:eastAsia="楷体_GB2312"/>
          <w:sz w:val="32"/>
          <w:szCs w:val="32"/>
        </w:rPr>
        <w:t>、</w:t>
      </w:r>
      <w:r>
        <w:rPr>
          <w:rFonts w:eastAsia="楷体_GB2312"/>
          <w:sz w:val="32"/>
          <w:szCs w:val="32"/>
        </w:rPr>
        <w:t>西安国际港务区功能区提供）</w:t>
      </w:r>
    </w:p>
    <w:p>
      <w:pPr>
        <w:spacing w:line="594" w:lineRule="exact"/>
        <w:ind w:firstLine="640" w:firstLineChars="200"/>
        <w:rPr>
          <w:rFonts w:eastAsia="仿宋_GB2312"/>
          <w:sz w:val="32"/>
          <w:szCs w:val="32"/>
        </w:rPr>
      </w:pPr>
    </w:p>
    <w:p>
      <w:pPr>
        <w:spacing w:line="560" w:lineRule="exact"/>
        <w:ind w:firstLine="640" w:firstLineChars="200"/>
        <w:rPr>
          <w:rFonts w:ascii="仿宋_GB2312" w:hAnsi="华文仿宋" w:eastAsia="仿宋_GB2312"/>
          <w:sz w:val="32"/>
          <w:szCs w:val="32"/>
        </w:rPr>
      </w:pPr>
      <w:r>
        <w:rPr>
          <w:rFonts w:eastAsia="仿宋_GB2312"/>
          <w:sz w:val="32"/>
          <w:szCs w:val="32"/>
        </w:rPr>
        <w:t>为</w:t>
      </w:r>
      <w:r>
        <w:rPr>
          <w:rFonts w:hint="eastAsia" w:ascii="仿宋_GB2312" w:hAnsi="华文仿宋" w:eastAsia="仿宋_GB2312"/>
          <w:sz w:val="32"/>
          <w:szCs w:val="32"/>
        </w:rPr>
        <w:t>深入推进与“一带一路”沿线国家的经济合作与人文交流，杨凌片区、西安国际港务区功能区利用“一带一路”沿线国家土地等资源，积极走出去开展产能合作，探索出了一条缓解我国粮食供给</w:t>
      </w:r>
      <w:r>
        <w:rPr>
          <w:rFonts w:ascii="仿宋_GB2312" w:hAnsi="华文仿宋" w:eastAsia="仿宋_GB2312"/>
          <w:sz w:val="32"/>
          <w:szCs w:val="32"/>
        </w:rPr>
        <w:t>不足</w:t>
      </w:r>
      <w:r>
        <w:rPr>
          <w:rFonts w:hint="eastAsia" w:ascii="仿宋_GB2312" w:hAnsi="华文仿宋" w:eastAsia="仿宋_GB2312"/>
          <w:sz w:val="32"/>
          <w:szCs w:val="32"/>
        </w:rPr>
        <w:t>、促进土地休耕的有效路径，实现互利双赢。</w:t>
      </w:r>
    </w:p>
    <w:p>
      <w:pPr>
        <w:spacing w:line="560" w:lineRule="exact"/>
        <w:ind w:firstLine="640" w:firstLineChars="200"/>
        <w:rPr>
          <w:rFonts w:ascii="黑体" w:hAnsi="仿宋" w:eastAsia="黑体" w:cs="仿宋"/>
          <w:bCs/>
          <w:sz w:val="32"/>
          <w:szCs w:val="32"/>
        </w:rPr>
      </w:pPr>
      <w:bookmarkStart w:id="26" w:name="_Toc521616464"/>
      <w:r>
        <w:rPr>
          <w:rFonts w:hint="eastAsia" w:ascii="黑体" w:hAnsi="仿宋" w:eastAsia="黑体" w:cs="仿宋"/>
          <w:bCs/>
          <w:sz w:val="32"/>
          <w:szCs w:val="32"/>
        </w:rPr>
        <w:t>一、主要做法</w:t>
      </w:r>
      <w:bookmarkEnd w:id="26"/>
    </w:p>
    <w:p>
      <w:pPr>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（一）建立海外新型农业合作社。</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bCs/>
          <w:sz w:val="32"/>
          <w:szCs w:val="32"/>
        </w:rPr>
        <w:t>以涉农龙头企业为主体，采取</w:t>
      </w:r>
      <w:r>
        <w:rPr>
          <w:rFonts w:hint="eastAsia" w:ascii="仿宋_GB2312" w:hAnsi="仿宋_GB2312" w:eastAsia="仿宋_GB2312" w:cs="仿宋_GB2312"/>
          <w:sz w:val="32"/>
          <w:szCs w:val="32"/>
        </w:rPr>
        <w:t>“订单农业”“订单收购”等合作形式，</w:t>
      </w:r>
      <w:r>
        <w:rPr>
          <w:rFonts w:hint="eastAsia" w:ascii="仿宋_GB2312" w:hAnsi="仿宋_GB2312" w:eastAsia="仿宋_GB2312" w:cs="仿宋_GB2312"/>
          <w:bCs/>
          <w:sz w:val="32"/>
          <w:szCs w:val="32"/>
        </w:rPr>
        <w:t>与当地政府和农场主成立合作社和专业公司等；</w:t>
      </w:r>
      <w:r>
        <w:rPr>
          <w:rFonts w:hint="eastAsia" w:ascii="仿宋_GB2312" w:hAnsi="仿宋_GB2312" w:eastAsia="仿宋_GB2312" w:cs="仿宋_GB2312"/>
          <w:sz w:val="32"/>
          <w:szCs w:val="32"/>
        </w:rPr>
        <w:t>由杨凌提供种子和田间管理技术，外方负责粮食种植、收割等；粮食产出后由杨凌按“出口退税价”收购。既帮助当地农民增收，又保障了我国粮食安全，推动农业技术、标准、种子的输出，实现了</w:t>
      </w:r>
      <w:r>
        <w:rPr>
          <w:rFonts w:hint="eastAsia" w:ascii="仿宋_GB2312" w:hAnsi="仿宋_GB2312" w:eastAsia="仿宋_GB2312" w:cs="仿宋_GB2312"/>
          <w:bCs/>
          <w:sz w:val="32"/>
          <w:szCs w:val="32"/>
        </w:rPr>
        <w:t>土地、技术、资本等生产要素的有效利用，</w:t>
      </w:r>
      <w:r>
        <w:rPr>
          <w:rFonts w:hint="eastAsia" w:ascii="仿宋_GB2312" w:hAnsi="仿宋_GB2312" w:eastAsia="仿宋_GB2312" w:cs="仿宋_GB2312"/>
          <w:sz w:val="32"/>
          <w:szCs w:val="32"/>
        </w:rPr>
        <w:t>促进共同发展。</w:t>
      </w:r>
    </w:p>
    <w:p>
      <w:pPr>
        <w:numPr>
          <w:ilvl w:val="0"/>
          <w:numId w:val="15"/>
        </w:numPr>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推行“两国三园”运作模式。</w:t>
      </w:r>
    </w:p>
    <w:p>
      <w:pPr>
        <w:spacing w:line="56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以爱菊集团为例，分别在哈萨克斯坦、阿拉山口和西安设立农产品原料基地、加工贸易集散中心和销售终端，建成了三地互为支撑、协同发展的中哈农业跨国合作体系，形成了种植、收购、加工、物流、销售一条龙的全产业链。</w:t>
      </w:r>
    </w:p>
    <w:p>
      <w:pPr>
        <w:numPr>
          <w:ilvl w:val="0"/>
          <w:numId w:val="16"/>
        </w:numPr>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创新农产品进口服务新机制。</w:t>
      </w:r>
    </w:p>
    <w:p>
      <w:pPr>
        <w:spacing w:line="560" w:lineRule="exact"/>
        <w:ind w:firstLine="640" w:firstLineChars="200"/>
        <w:rPr>
          <w:rFonts w:ascii="仿宋_GB2312" w:hAnsi="华文仿宋" w:eastAsia="仿宋_GB2312"/>
          <w:sz w:val="32"/>
          <w:szCs w:val="32"/>
        </w:rPr>
      </w:pPr>
      <w:r>
        <w:rPr>
          <w:rFonts w:hint="eastAsia" w:ascii="仿宋_GB2312" w:hAnsi="华文仿宋" w:eastAsia="仿宋_GB2312"/>
          <w:sz w:val="32"/>
          <w:szCs w:val="32"/>
        </w:rPr>
        <w:t>一是采用散装集装箱运输方式，粮食到达国境口岸留样报关放行，由西安海关落地检验，实现了粮食进口一站式抵达。二是设立农产品出口退税流转金，推行农产品关税保证保险，有效降低农产品跨境贸易交易成本。三是</w:t>
      </w:r>
      <w:r>
        <w:rPr>
          <w:rFonts w:hint="eastAsia" w:ascii="仿宋_GB2312" w:hAnsi="仿宋_GB2312" w:eastAsia="仿宋_GB2312" w:cs="仿宋_GB2312"/>
          <w:sz w:val="32"/>
          <w:szCs w:val="32"/>
        </w:rPr>
        <w:t>建立进口粮食疫情监测和联防联控机制，确保海外农产品符合我国粮食进口标准和安全。</w:t>
      </w:r>
    </w:p>
    <w:p>
      <w:pPr>
        <w:spacing w:line="560" w:lineRule="exact"/>
        <w:ind w:firstLine="640" w:firstLineChars="200"/>
        <w:rPr>
          <w:rFonts w:ascii="黑体" w:hAnsi="仿宋" w:eastAsia="黑体" w:cs="仿宋"/>
          <w:bCs/>
          <w:sz w:val="32"/>
          <w:szCs w:val="32"/>
        </w:rPr>
      </w:pPr>
      <w:bookmarkStart w:id="27" w:name="_Toc521616465"/>
      <w:r>
        <w:rPr>
          <w:rFonts w:hint="eastAsia" w:ascii="黑体" w:hAnsi="仿宋" w:eastAsia="黑体" w:cs="仿宋"/>
          <w:bCs/>
          <w:sz w:val="32"/>
          <w:szCs w:val="32"/>
        </w:rPr>
        <w:t>二、</w:t>
      </w:r>
      <w:bookmarkEnd w:id="27"/>
      <w:r>
        <w:rPr>
          <w:rFonts w:hint="eastAsia" w:ascii="黑体" w:hAnsi="仿宋" w:eastAsia="黑体" w:cs="仿宋"/>
          <w:bCs/>
          <w:sz w:val="32"/>
          <w:szCs w:val="32"/>
        </w:rPr>
        <w:t>实践效果</w:t>
      </w:r>
    </w:p>
    <w:p>
      <w:pPr>
        <w:spacing w:line="560" w:lineRule="exact"/>
        <w:ind w:firstLine="480" w:firstLineChars="15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跨国农业产能合作不仅将海外生产的优质农产品进口到国内，有效弥补了我国粮食缺口，还加速了农机装备“走出去”，促进了国际交流合作。以爱菊集团为例，今年以来，在哈萨克斯坦建设的200万亩原料基地向国内输送小麦5823.28吨，面粉12345吨，麸皮7427吨，油脂8878吨，菜饼17122吨，促进我国土地短期休耕200万亩，一大批国内农机装备（拖拉机、收割机等）和油脂生产线设施走出国门。</w:t>
      </w:r>
    </w:p>
    <w:p>
      <w:pPr>
        <w:spacing w:line="560" w:lineRule="exact"/>
        <w:ind w:firstLine="640" w:firstLineChars="200"/>
        <w:rPr>
          <w:rFonts w:ascii="黑体" w:hAnsi="仿宋" w:eastAsia="黑体" w:cs="仿宋"/>
          <w:bCs/>
          <w:sz w:val="32"/>
          <w:szCs w:val="32"/>
        </w:rPr>
      </w:pPr>
      <w:bookmarkStart w:id="28" w:name="_Toc521616466"/>
      <w:r>
        <w:rPr>
          <w:rFonts w:hint="eastAsia" w:ascii="黑体" w:hAnsi="仿宋" w:eastAsia="黑体" w:cs="仿宋"/>
          <w:bCs/>
          <w:sz w:val="32"/>
          <w:szCs w:val="32"/>
        </w:rPr>
        <w:t>三、下一步</w:t>
      </w:r>
      <w:bookmarkEnd w:id="28"/>
      <w:r>
        <w:rPr>
          <w:rFonts w:hint="eastAsia" w:ascii="黑体" w:hAnsi="仿宋" w:eastAsia="黑体" w:cs="仿宋"/>
          <w:bCs/>
          <w:sz w:val="32"/>
          <w:szCs w:val="32"/>
        </w:rPr>
        <w:t>工作思路</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继续完善各类农产品物流加工园区电子商务、物流、贸易等功能，进一步加大农业先进技术和经验的推广应用，不断推进与“一带一路”沿线国家和地区现代农业的交流与合作。</w:t>
      </w:r>
    </w:p>
    <w:p>
      <w:pPr>
        <w:spacing w:line="594" w:lineRule="exact"/>
        <w:ind w:firstLine="645"/>
        <w:rPr>
          <w:rFonts w:eastAsia="仿宋_GB2312"/>
          <w:sz w:val="32"/>
          <w:szCs w:val="32"/>
        </w:rPr>
      </w:pPr>
    </w:p>
    <w:p>
      <w:pPr>
        <w:spacing w:line="594" w:lineRule="exact"/>
        <w:rPr>
          <w:rFonts w:eastAsia="黑体"/>
          <w:sz w:val="32"/>
          <w:szCs w:val="32"/>
        </w:rPr>
      </w:pPr>
      <w:r>
        <w:rPr>
          <w:rFonts w:eastAsia="黑体"/>
          <w:sz w:val="32"/>
          <w:szCs w:val="32"/>
        </w:rPr>
        <w:br w:type="page"/>
      </w:r>
      <w:r>
        <w:rPr>
          <w:rFonts w:hint="eastAsia" w:ascii="黑体" w:hAnsi="黑体" w:eastAsia="黑体" w:cs="黑体"/>
          <w:sz w:val="32"/>
          <w:szCs w:val="32"/>
        </w:rPr>
        <w:t>案例16</w:t>
      </w:r>
    </w:p>
    <w:p>
      <w:pPr>
        <w:spacing w:line="594" w:lineRule="exact"/>
        <w:rPr>
          <w:rFonts w:eastAsia="黑体"/>
          <w:sz w:val="32"/>
          <w:szCs w:val="32"/>
        </w:rPr>
      </w:pPr>
    </w:p>
    <w:p>
      <w:pPr>
        <w:pStyle w:val="3"/>
        <w:keepNext w:val="0"/>
        <w:keepLines w:val="0"/>
        <w:spacing w:before="0" w:after="0" w:line="594" w:lineRule="exact"/>
        <w:jc w:val="center"/>
        <w:rPr>
          <w:rFonts w:eastAsia="方正小标宋_GBK"/>
        </w:rPr>
      </w:pPr>
      <w:bookmarkStart w:id="29" w:name="_Toc4665"/>
      <w:bookmarkStart w:id="30" w:name="打造“一带一路”现代农业国际合作中心"/>
      <w:r>
        <w:rPr>
          <w:rFonts w:hint="eastAsia" w:ascii="方正小标宋简体" w:hAnsi="方正小标宋简体" w:eastAsia="方正小标宋简体" w:cs="方正小标宋简体"/>
        </w:rPr>
        <w:fldChar w:fldCharType="begin"/>
      </w:r>
      <w:r>
        <w:rPr>
          <w:rFonts w:hint="eastAsia" w:ascii="方正小标宋简体" w:hAnsi="方正小标宋简体" w:eastAsia="方正小标宋简体" w:cs="方正小标宋简体"/>
        </w:rPr>
        <w:instrText xml:space="preserve"> HYPERLINK \l "目录2" </w:instrText>
      </w:r>
      <w:r>
        <w:rPr>
          <w:rFonts w:hint="eastAsia" w:ascii="方正小标宋简体" w:hAnsi="方正小标宋简体" w:eastAsia="方正小标宋简体" w:cs="方正小标宋简体"/>
        </w:rPr>
        <w:fldChar w:fldCharType="separate"/>
      </w:r>
      <w:r>
        <w:rPr>
          <w:rStyle w:val="16"/>
          <w:rFonts w:hint="eastAsia" w:ascii="方正小标宋简体" w:hAnsi="方正小标宋简体" w:eastAsia="方正小标宋简体" w:cs="方正小标宋简体"/>
          <w:color w:val="auto"/>
          <w:u w:val="none"/>
        </w:rPr>
        <w:t>打造“一带一路”现代农业国际合作中心</w:t>
      </w:r>
      <w:bookmarkEnd w:id="29"/>
      <w:bookmarkEnd w:id="30"/>
      <w:r>
        <w:rPr>
          <w:rFonts w:hint="eastAsia" w:ascii="方正小标宋简体" w:hAnsi="方正小标宋简体" w:eastAsia="方正小标宋简体" w:cs="方正小标宋简体"/>
        </w:rPr>
        <w:fldChar w:fldCharType="end"/>
      </w:r>
    </w:p>
    <w:p>
      <w:pPr>
        <w:spacing w:line="594" w:lineRule="exact"/>
        <w:jc w:val="center"/>
        <w:rPr>
          <w:rFonts w:eastAsia="楷体_GB2312"/>
          <w:sz w:val="32"/>
          <w:szCs w:val="32"/>
        </w:rPr>
      </w:pPr>
      <w:r>
        <w:rPr>
          <w:rFonts w:eastAsia="楷体_GB2312"/>
          <w:sz w:val="32"/>
          <w:szCs w:val="32"/>
        </w:rPr>
        <w:t>（自贸试验区杨凌示范区管委会提供）</w:t>
      </w:r>
    </w:p>
    <w:p>
      <w:pPr>
        <w:spacing w:line="594" w:lineRule="exact"/>
        <w:ind w:firstLine="640" w:firstLineChars="200"/>
        <w:rPr>
          <w:rFonts w:eastAsia="仿宋"/>
          <w:sz w:val="32"/>
          <w:szCs w:val="32"/>
        </w:rPr>
      </w:pPr>
    </w:p>
    <w:p>
      <w:pPr>
        <w:spacing w:line="560" w:lineRule="exact"/>
        <w:ind w:firstLine="640" w:firstLineChars="200"/>
        <w:rPr>
          <w:rFonts w:eastAsia="仿宋_GB2312"/>
          <w:sz w:val="32"/>
          <w:szCs w:val="32"/>
        </w:rPr>
      </w:pPr>
      <w:r>
        <w:rPr>
          <w:rFonts w:eastAsia="仿宋_GB2312"/>
          <w:sz w:val="32"/>
          <w:szCs w:val="32"/>
        </w:rPr>
        <w:t>杨凌片区围绕“创新现代农业交流合作机制”的改革试点任务，以农业科技创新和示范推广为重点，不断创新与“一带一路”沿线国家和地区现代农业交流合作机制，打造“一带一路”现代农业国际合作中心。</w:t>
      </w:r>
    </w:p>
    <w:p>
      <w:pPr>
        <w:spacing w:line="560" w:lineRule="exact"/>
        <w:ind w:firstLine="640" w:firstLineChars="200"/>
        <w:rPr>
          <w:rFonts w:eastAsia="黑体"/>
          <w:sz w:val="32"/>
          <w:szCs w:val="32"/>
        </w:rPr>
      </w:pPr>
      <w:r>
        <w:rPr>
          <w:rFonts w:eastAsia="黑体"/>
          <w:sz w:val="32"/>
          <w:szCs w:val="32"/>
        </w:rPr>
        <w:t>一、主要做法</w:t>
      </w:r>
    </w:p>
    <w:p>
      <w:pPr>
        <w:spacing w:line="560" w:lineRule="exact"/>
        <w:ind w:firstLine="643" w:firstLineChars="200"/>
        <w:rPr>
          <w:rFonts w:eastAsia="仿宋_GB2312"/>
          <w:sz w:val="32"/>
          <w:szCs w:val="32"/>
        </w:rPr>
      </w:pPr>
      <w:r>
        <w:rPr>
          <w:rFonts w:eastAsia="楷体_GB2312"/>
          <w:b/>
          <w:sz w:val="32"/>
          <w:szCs w:val="32"/>
        </w:rPr>
        <w:t>（一）搭建农业国际合作服务平台。</w:t>
      </w:r>
      <w:r>
        <w:rPr>
          <w:rFonts w:eastAsia="仿宋_GB2312"/>
          <w:sz w:val="32"/>
          <w:szCs w:val="32"/>
        </w:rPr>
        <w:t>杨凌片区在涉农领域搭建了“1+3”国际合作服务平台，集投融资、贸易、科技及人文交流功能于一体，促进农业领域国际合作。“1”是指建设杨凌国际农业科技商务服务平台，汇聚相关组织、企业、项目和专家，促进各类优质涉农资源在杨凌聚集，通过线上线下提供高效便捷的咨询、信息等服务。“3”是指在俄罗斯、哈萨克斯坦等“一带一路”沿线国家及美国，建设三个农业海外投资促进服务中心，提供融资支持、法律咨询、信息交流等服务，助力农业企业走出去。</w:t>
      </w:r>
    </w:p>
    <w:p>
      <w:pPr>
        <w:spacing w:line="560" w:lineRule="exact"/>
        <w:ind w:firstLine="643" w:firstLineChars="200"/>
        <w:rPr>
          <w:rFonts w:eastAsia="仿宋_GB2312"/>
          <w:sz w:val="32"/>
          <w:szCs w:val="32"/>
        </w:rPr>
      </w:pPr>
      <w:r>
        <w:rPr>
          <w:rFonts w:eastAsia="楷体_GB2312"/>
          <w:b/>
          <w:sz w:val="32"/>
          <w:szCs w:val="32"/>
        </w:rPr>
        <w:t>（二）推进境外农业国际合作园区建设。</w:t>
      </w:r>
      <w:r>
        <w:rPr>
          <w:rFonts w:eastAsia="仿宋_GB2312"/>
          <w:sz w:val="32"/>
          <w:szCs w:val="32"/>
        </w:rPr>
        <w:t>自贸试验区挂牌以来，以企业为主体，以市场为导向，大力推进境外农业国际合作园区建设，截至目前，已在美国、俄罗斯、澳大利亚、哈萨克斯坦、吉尔吉斯斯坦、塔吉克斯坦、乌克兰等国启动建设了7个现代农业示范园区，推动农业领域对外投资，推广中国农业技术装备，发展国际农业科技合作，促进国际人文合作交流。</w:t>
      </w:r>
    </w:p>
    <w:p>
      <w:pPr>
        <w:spacing w:line="560" w:lineRule="exact"/>
        <w:ind w:firstLine="643" w:firstLineChars="200"/>
        <w:rPr>
          <w:rFonts w:eastAsia="仿宋_GB2312"/>
          <w:sz w:val="32"/>
          <w:szCs w:val="32"/>
        </w:rPr>
      </w:pPr>
      <w:r>
        <w:rPr>
          <w:rFonts w:eastAsia="楷体_GB2312"/>
          <w:b/>
          <w:sz w:val="32"/>
          <w:szCs w:val="32"/>
        </w:rPr>
        <w:t>（三）建立丝绸之路农业教育科技创新联盟。</w:t>
      </w:r>
      <w:r>
        <w:rPr>
          <w:rFonts w:eastAsia="仿宋_GB2312"/>
          <w:sz w:val="32"/>
          <w:szCs w:val="32"/>
        </w:rPr>
        <w:t>丝绸之路农业教育科技创新联盟由位于杨凌的西北农林科技大学牵头成立，成员包括来自丝绸之路沿线14个国家和地区的76所涉农大学和科研机构。该联盟致力于打造一个丝绸之路沿线国家和地区大学、科研机构自愿加入的非政府、非盈利和开放性、国际化多边合作平台，推动成员间在人才培养、科学研究、技术推广、人文交流、智库建设等方面开展全方位合作，促进沿线国家和地区农业教育科技深度交流、共赢发展。</w:t>
      </w:r>
    </w:p>
    <w:p>
      <w:pPr>
        <w:spacing w:line="560" w:lineRule="exact"/>
        <w:ind w:firstLine="640" w:firstLineChars="200"/>
        <w:rPr>
          <w:rFonts w:eastAsia="黑体"/>
          <w:sz w:val="32"/>
          <w:szCs w:val="32"/>
        </w:rPr>
      </w:pPr>
      <w:r>
        <w:rPr>
          <w:rFonts w:eastAsia="黑体"/>
          <w:sz w:val="32"/>
          <w:szCs w:val="32"/>
        </w:rPr>
        <w:t>二、实践效果</w:t>
      </w:r>
    </w:p>
    <w:p>
      <w:pPr>
        <w:spacing w:line="560" w:lineRule="exact"/>
        <w:ind w:firstLine="643" w:firstLineChars="200"/>
        <w:rPr>
          <w:rFonts w:eastAsia="仿宋_GB2312"/>
          <w:sz w:val="32"/>
          <w:szCs w:val="32"/>
        </w:rPr>
      </w:pPr>
      <w:r>
        <w:rPr>
          <w:rFonts w:eastAsia="楷体_GB2312"/>
          <w:b/>
          <w:sz w:val="32"/>
          <w:szCs w:val="32"/>
        </w:rPr>
        <w:t>（一）推进了我国农业对外输出与国际合作。</w:t>
      </w:r>
      <w:r>
        <w:rPr>
          <w:rFonts w:eastAsia="仿宋_GB2312"/>
          <w:sz w:val="32"/>
          <w:szCs w:val="32"/>
        </w:rPr>
        <w:t>以杨凌片区与哈萨克斯坦国际一体化基金会合作的中国—哈萨克斯坦农业创新园（以下简称“中哈园”）为例：一是带动了国内农业新品种和农业设备的输出，截至目前，中哈园共从国内引种小麦等6大类48个品种，种植面积417亩，带动了大型农机、配套机具及温室大棚建设材料出口。二是推动了农业技术品种合作，研发的冬小麦5号具备抗锈、抗旱、高产等突出优点，亩产较当地品种增产82.3%。三是促进了两国农业科技交流合作，通过项目实施，与哈萨克斯坦国立农业大学、农业部植物保护与检疫研究所等农业教学科研机构建立了广泛联系。</w:t>
      </w:r>
    </w:p>
    <w:p>
      <w:pPr>
        <w:spacing w:line="560" w:lineRule="exact"/>
        <w:ind w:firstLine="643" w:firstLineChars="200"/>
        <w:rPr>
          <w:rFonts w:eastAsia="仿宋_GB2312"/>
          <w:sz w:val="32"/>
          <w:szCs w:val="32"/>
        </w:rPr>
      </w:pPr>
      <w:r>
        <w:rPr>
          <w:rFonts w:eastAsia="楷体_GB2312"/>
          <w:b/>
          <w:sz w:val="32"/>
          <w:szCs w:val="32"/>
        </w:rPr>
        <w:t>（二）强化了国际农业教育科技交流合作。</w:t>
      </w:r>
      <w:r>
        <w:rPr>
          <w:rFonts w:eastAsia="仿宋_GB2312"/>
          <w:sz w:val="32"/>
          <w:szCs w:val="32"/>
        </w:rPr>
        <w:t>杨凌片区依托西北农林科技大学先后承办了哈萨克斯坦、蒙古等农牧专题培训班，接收了50余名来自丝绸之路沿线国家和地区的留学生。2018年7月，在塞尔维亚成功举办了“丝绸之路农业科技教育与科研合作”论坛，来自中国、塞尔维亚、俄罗斯、波兰、约旦、荷兰、哈萨克斯坦等7个国家的120余位代表参加。</w:t>
      </w:r>
    </w:p>
    <w:p>
      <w:pPr>
        <w:spacing w:line="560" w:lineRule="exact"/>
        <w:ind w:firstLine="643" w:firstLineChars="200"/>
        <w:rPr>
          <w:rFonts w:eastAsia="仿宋_GB2312"/>
          <w:sz w:val="32"/>
          <w:szCs w:val="32"/>
        </w:rPr>
      </w:pPr>
      <w:r>
        <w:rPr>
          <w:rFonts w:eastAsia="楷体_GB2312"/>
          <w:b/>
          <w:sz w:val="32"/>
          <w:szCs w:val="32"/>
        </w:rPr>
        <w:t>（三）加强了</w:t>
      </w:r>
      <w:r>
        <w:rPr>
          <w:rFonts w:hint="eastAsia" w:eastAsia="楷体_GB2312"/>
          <w:b/>
          <w:sz w:val="32"/>
          <w:szCs w:val="32"/>
        </w:rPr>
        <w:t>“一带一路”</w:t>
      </w:r>
      <w:r>
        <w:rPr>
          <w:rFonts w:eastAsia="楷体_GB2312"/>
          <w:b/>
          <w:sz w:val="32"/>
          <w:szCs w:val="32"/>
        </w:rPr>
        <w:t>沿线国家和地区研究。</w:t>
      </w:r>
      <w:r>
        <w:rPr>
          <w:rFonts w:eastAsia="仿宋_GB2312"/>
          <w:sz w:val="32"/>
          <w:szCs w:val="32"/>
        </w:rPr>
        <w:t>杨凌片区成功获批中国科协“一带一路”国际科技合作平台“中俄农业科技发展政策研究 ”项目，开展俄罗斯科技组织（含在俄罗斯的国际科技组织）、科技体制和运行方式研究，为中俄相关科技组织合作提出可行性建议。同时，正在筹建中国南南农业合作与发展学院，推动设立非洲、哈萨克斯坦、孟加拉国等国别研究中心，致力于研究、总结、归纳、传播中国农业发展和减贫经验。</w:t>
      </w:r>
    </w:p>
    <w:p>
      <w:pPr>
        <w:spacing w:line="560" w:lineRule="exact"/>
        <w:ind w:firstLine="640" w:firstLineChars="200"/>
        <w:rPr>
          <w:rFonts w:eastAsia="黑体"/>
          <w:sz w:val="32"/>
          <w:szCs w:val="32"/>
        </w:rPr>
      </w:pPr>
      <w:r>
        <w:rPr>
          <w:rFonts w:eastAsia="黑体"/>
          <w:sz w:val="32"/>
          <w:szCs w:val="32"/>
        </w:rPr>
        <w:t>三、下一步工作思路</w:t>
      </w:r>
    </w:p>
    <w:p>
      <w:pPr>
        <w:spacing w:line="560" w:lineRule="exact"/>
        <w:ind w:firstLine="640" w:firstLineChars="200"/>
        <w:rPr>
          <w:rFonts w:eastAsia="仿宋_GB2312"/>
          <w:sz w:val="32"/>
          <w:szCs w:val="32"/>
        </w:rPr>
      </w:pPr>
      <w:r>
        <w:rPr>
          <w:rFonts w:eastAsia="仿宋_GB2312"/>
          <w:sz w:val="32"/>
          <w:szCs w:val="32"/>
        </w:rPr>
        <w:t>杨凌片区将立足杨凌农业科技资源优势，一是进一步加强与国内外农业科研单位合作，与当地农业研究机构深入开展试种合作，建立品种审定和推广模式，逐步实现市场化运营。二是深入推广农业双向投资发展，在积极吸引涉农国际企业来华投资同时，以境外农业合作园区为载体，带动国内涉农企业赴境外发展。三是鼓励金融创新支持农业“走出去”，充分发挥政策性保险的作用，调动商业保险机构的积极性，支持开展企业对外农业投资保险业务，降低农业赴境外投资可能发生的非常规风险。</w:t>
      </w:r>
    </w:p>
    <w:p>
      <w:pPr>
        <w:keepNext w:val="0"/>
        <w:keepLines w:val="0"/>
        <w:pageBreakBefore w:val="0"/>
        <w:widowControl w:val="0"/>
        <w:kinsoku/>
        <w:wordWrap/>
        <w:overflowPunct/>
        <w:topLinePunct w:val="0"/>
        <w:autoSpaceDE/>
        <w:autoSpaceDN/>
        <w:bidi w:val="0"/>
        <w:adjustRightInd/>
        <w:snapToGrid/>
        <w:spacing w:before="0" w:after="0" w:line="600" w:lineRule="exact"/>
        <w:ind w:left="0" w:leftChars="0" w:right="0" w:rightChars="0" w:firstLine="5760" w:firstLineChars="1800"/>
        <w:jc w:val="both"/>
        <w:textAlignment w:val="auto"/>
        <w:outlineLvl w:val="9"/>
        <w:rPr>
          <w:rFonts w:hint="default" w:ascii="Times New Roman" w:hAnsi="Times New Roman" w:eastAsia="仿宋_GB2312" w:cs="Times New Roman"/>
          <w:color w:val="000000"/>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120" w:lineRule="exact"/>
        <w:ind w:left="0" w:leftChars="0" w:right="0" w:rightChars="0" w:firstLine="5760" w:firstLineChars="1800"/>
        <w:jc w:val="both"/>
        <w:textAlignment w:val="auto"/>
        <w:outlineLvl w:val="9"/>
        <w:rPr>
          <w:rFonts w:hint="default" w:ascii="Times New Roman" w:hAnsi="Times New Roman" w:eastAsia="仿宋_GB2312" w:cs="Times New Roman"/>
          <w:color w:val="000000"/>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120" w:lineRule="exact"/>
        <w:ind w:left="0" w:leftChars="0" w:right="0" w:rightChars="0" w:firstLine="5760" w:firstLineChars="1800"/>
        <w:jc w:val="both"/>
        <w:textAlignment w:val="auto"/>
        <w:outlineLvl w:val="9"/>
        <w:rPr>
          <w:rFonts w:hint="default" w:ascii="Times New Roman" w:hAnsi="Times New Roman" w:eastAsia="仿宋_GB2312" w:cs="Times New Roman"/>
          <w:color w:val="000000"/>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120" w:lineRule="exact"/>
        <w:ind w:left="0" w:leftChars="0" w:right="0" w:rightChars="0" w:firstLine="5760" w:firstLineChars="1800"/>
        <w:jc w:val="both"/>
        <w:textAlignment w:val="auto"/>
        <w:outlineLvl w:val="9"/>
        <w:rPr>
          <w:rFonts w:hint="default" w:ascii="Times New Roman" w:hAnsi="Times New Roman" w:eastAsia="仿宋_GB2312" w:cs="Times New Roman"/>
          <w:color w:val="000000"/>
          <w:sz w:val="32"/>
          <w:szCs w:val="32"/>
        </w:rPr>
      </w:pPr>
    </w:p>
    <w:p>
      <w:pPr>
        <w:snapToGrid w:val="0"/>
        <w:spacing w:line="560" w:lineRule="exact"/>
        <w:jc w:val="center"/>
        <w:rPr>
          <w:rFonts w:hint="default" w:ascii="Times New Roman" w:hAnsi="Times New Roman" w:eastAsia="方正小标宋简体" w:cs="Times New Roman"/>
          <w:spacing w:val="-19"/>
          <w:sz w:val="44"/>
          <w:szCs w:val="44"/>
        </w:rPr>
      </w:pPr>
    </w:p>
    <w:p>
      <w:pPr>
        <w:snapToGrid w:val="0"/>
        <w:spacing w:line="560" w:lineRule="exact"/>
        <w:jc w:val="center"/>
        <w:rPr>
          <w:rFonts w:hint="default" w:ascii="Times New Roman" w:hAnsi="Times New Roman" w:eastAsia="方正小标宋简体" w:cs="Times New Roman"/>
          <w:spacing w:val="-19"/>
          <w:sz w:val="44"/>
          <w:szCs w:val="44"/>
        </w:rPr>
      </w:pPr>
    </w:p>
    <w:p>
      <w:pPr>
        <w:snapToGrid w:val="0"/>
        <w:spacing w:line="560" w:lineRule="exact"/>
        <w:jc w:val="center"/>
        <w:rPr>
          <w:rFonts w:hint="default" w:ascii="Times New Roman" w:hAnsi="Times New Roman" w:eastAsia="方正小标宋简体" w:cs="Times New Roman"/>
          <w:spacing w:val="-19"/>
          <w:sz w:val="44"/>
          <w:szCs w:val="44"/>
        </w:rPr>
      </w:pPr>
    </w:p>
    <w:p>
      <w:pPr>
        <w:snapToGrid w:val="0"/>
        <w:spacing w:line="560" w:lineRule="exact"/>
        <w:jc w:val="center"/>
        <w:rPr>
          <w:rFonts w:hint="default" w:ascii="Times New Roman" w:hAnsi="Times New Roman" w:eastAsia="方正小标宋简体" w:cs="Times New Roman"/>
          <w:spacing w:val="-19"/>
          <w:sz w:val="44"/>
          <w:szCs w:val="44"/>
        </w:rPr>
      </w:pPr>
    </w:p>
    <w:p>
      <w:pPr>
        <w:snapToGrid w:val="0"/>
        <w:spacing w:line="560" w:lineRule="exact"/>
        <w:jc w:val="center"/>
        <w:rPr>
          <w:rFonts w:hint="default" w:ascii="Times New Roman" w:hAnsi="Times New Roman" w:eastAsia="方正小标宋简体" w:cs="Times New Roman"/>
          <w:spacing w:val="-19"/>
          <w:sz w:val="44"/>
          <w:szCs w:val="44"/>
        </w:rPr>
      </w:pPr>
    </w:p>
    <w:p>
      <w:pPr>
        <w:snapToGrid w:val="0"/>
        <w:spacing w:line="560" w:lineRule="exact"/>
        <w:jc w:val="center"/>
        <w:rPr>
          <w:rFonts w:hint="default" w:ascii="Times New Roman" w:hAnsi="Times New Roman" w:eastAsia="方正小标宋简体" w:cs="Times New Roman"/>
          <w:spacing w:val="-19"/>
          <w:sz w:val="44"/>
          <w:szCs w:val="44"/>
        </w:rPr>
      </w:pPr>
    </w:p>
    <w:p>
      <w:pPr>
        <w:snapToGrid w:val="0"/>
        <w:spacing w:line="560" w:lineRule="exact"/>
        <w:jc w:val="center"/>
        <w:rPr>
          <w:rFonts w:hint="default" w:ascii="Times New Roman" w:hAnsi="Times New Roman" w:eastAsia="方正小标宋简体" w:cs="Times New Roman"/>
          <w:spacing w:val="-19"/>
          <w:sz w:val="44"/>
          <w:szCs w:val="44"/>
        </w:rPr>
      </w:pPr>
    </w:p>
    <w:p>
      <w:pPr>
        <w:snapToGrid w:val="0"/>
        <w:spacing w:line="560" w:lineRule="exact"/>
        <w:jc w:val="center"/>
        <w:rPr>
          <w:rFonts w:hint="default" w:ascii="Times New Roman" w:hAnsi="Times New Roman" w:eastAsia="方正小标宋简体" w:cs="Times New Roman"/>
          <w:spacing w:val="-19"/>
          <w:sz w:val="44"/>
          <w:szCs w:val="44"/>
        </w:rPr>
      </w:pPr>
    </w:p>
    <w:p>
      <w:pPr>
        <w:snapToGrid w:val="0"/>
        <w:spacing w:line="560" w:lineRule="exact"/>
        <w:jc w:val="center"/>
        <w:rPr>
          <w:rFonts w:hint="default" w:ascii="Times New Roman" w:hAnsi="Times New Roman" w:eastAsia="方正小标宋简体" w:cs="Times New Roman"/>
          <w:spacing w:val="-19"/>
          <w:sz w:val="44"/>
          <w:szCs w:val="44"/>
        </w:rPr>
      </w:pPr>
    </w:p>
    <w:p>
      <w:pPr>
        <w:snapToGrid w:val="0"/>
        <w:spacing w:line="560" w:lineRule="exact"/>
        <w:jc w:val="center"/>
        <w:rPr>
          <w:rFonts w:hint="default" w:ascii="Times New Roman" w:hAnsi="Times New Roman" w:eastAsia="方正小标宋简体" w:cs="Times New Roman"/>
          <w:spacing w:val="-19"/>
          <w:sz w:val="44"/>
          <w:szCs w:val="44"/>
        </w:rPr>
      </w:pPr>
    </w:p>
    <w:p>
      <w:pPr>
        <w:snapToGrid w:val="0"/>
        <w:spacing w:line="560" w:lineRule="exact"/>
        <w:jc w:val="center"/>
        <w:rPr>
          <w:rFonts w:hint="default" w:ascii="Times New Roman" w:hAnsi="Times New Roman" w:eastAsia="方正小标宋简体" w:cs="Times New Roman"/>
          <w:spacing w:val="-19"/>
          <w:sz w:val="44"/>
          <w:szCs w:val="44"/>
        </w:rPr>
      </w:pPr>
    </w:p>
    <w:p>
      <w:pPr>
        <w:snapToGrid w:val="0"/>
        <w:spacing w:line="560" w:lineRule="exact"/>
        <w:jc w:val="center"/>
        <w:rPr>
          <w:rFonts w:hint="default" w:ascii="Times New Roman" w:hAnsi="Times New Roman" w:eastAsia="方正小标宋简体" w:cs="Times New Roman"/>
          <w:spacing w:val="-19"/>
          <w:sz w:val="44"/>
          <w:szCs w:val="44"/>
        </w:rPr>
      </w:pPr>
    </w:p>
    <w:p>
      <w:pPr>
        <w:snapToGrid w:val="0"/>
        <w:spacing w:line="560" w:lineRule="exact"/>
        <w:jc w:val="center"/>
        <w:rPr>
          <w:rFonts w:hint="default" w:ascii="Times New Roman" w:hAnsi="Times New Roman" w:eastAsia="方正小标宋简体" w:cs="Times New Roman"/>
          <w:spacing w:val="-19"/>
          <w:sz w:val="44"/>
          <w:szCs w:val="44"/>
        </w:rPr>
      </w:pPr>
    </w:p>
    <w:p>
      <w:pPr>
        <w:snapToGrid w:val="0"/>
        <w:spacing w:line="560" w:lineRule="exact"/>
        <w:jc w:val="center"/>
        <w:rPr>
          <w:rFonts w:hint="default" w:ascii="Times New Roman" w:hAnsi="Times New Roman" w:eastAsia="方正小标宋简体" w:cs="Times New Roman"/>
          <w:spacing w:val="-19"/>
          <w:sz w:val="44"/>
          <w:szCs w:val="44"/>
        </w:rPr>
      </w:pPr>
    </w:p>
    <w:p>
      <w:pPr>
        <w:snapToGrid w:val="0"/>
        <w:spacing w:line="560" w:lineRule="exact"/>
        <w:jc w:val="center"/>
        <w:rPr>
          <w:rFonts w:hint="default" w:ascii="Times New Roman" w:hAnsi="Times New Roman" w:eastAsia="方正小标宋简体" w:cs="Times New Roman"/>
          <w:spacing w:val="-19"/>
          <w:sz w:val="44"/>
          <w:szCs w:val="44"/>
        </w:rPr>
      </w:pPr>
    </w:p>
    <w:p>
      <w:pPr>
        <w:snapToGrid w:val="0"/>
        <w:spacing w:line="560" w:lineRule="exact"/>
        <w:jc w:val="center"/>
        <w:rPr>
          <w:rFonts w:hint="default" w:ascii="Times New Roman" w:hAnsi="Times New Roman" w:eastAsia="方正小标宋简体" w:cs="Times New Roman"/>
          <w:spacing w:val="-19"/>
          <w:sz w:val="44"/>
          <w:szCs w:val="44"/>
        </w:rPr>
      </w:pPr>
    </w:p>
    <w:p>
      <w:pPr>
        <w:snapToGrid w:val="0"/>
        <w:spacing w:line="560" w:lineRule="exact"/>
        <w:jc w:val="center"/>
        <w:rPr>
          <w:rFonts w:hint="default" w:ascii="Times New Roman" w:hAnsi="Times New Roman" w:eastAsia="方正小标宋简体" w:cs="Times New Roman"/>
          <w:spacing w:val="-19"/>
          <w:sz w:val="44"/>
          <w:szCs w:val="44"/>
        </w:rPr>
      </w:pPr>
    </w:p>
    <w:p>
      <w:pPr>
        <w:snapToGrid w:val="0"/>
        <w:spacing w:line="560" w:lineRule="exact"/>
        <w:jc w:val="center"/>
        <w:rPr>
          <w:rFonts w:hint="default" w:ascii="Times New Roman" w:hAnsi="Times New Roman" w:eastAsia="方正小标宋简体" w:cs="Times New Roman"/>
          <w:spacing w:val="-19"/>
          <w:sz w:val="44"/>
          <w:szCs w:val="44"/>
        </w:rPr>
      </w:pPr>
    </w:p>
    <w:p>
      <w:bookmarkStart w:id="31" w:name="_GoBack"/>
      <w:bookmarkEnd w:id="31"/>
    </w:p>
    <w:sectPr>
      <w:headerReference r:id="rId6" w:type="default"/>
      <w:footerReference r:id="rId7" w:type="default"/>
      <w:pgSz w:w="11906" w:h="16838"/>
      <w:pgMar w:top="1984" w:right="1701" w:bottom="1701"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TT10Do00">
    <w:altName w:val="微软雅黑"/>
    <w:panose1 w:val="00000000000000000000"/>
    <w:charset w:val="00"/>
    <w:family w:val="auto"/>
    <w:pitch w:val="default"/>
    <w:sig w:usb0="00000000" w:usb1="00000000" w:usb2="00000000" w:usb3="00000000" w:csb0="00040001" w:csb1="00000000"/>
  </w:font>
  <w:font w:name="方正小标宋简体">
    <w:altName w:val="方正舒体"/>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方正仿宋_GB2312">
    <w:altName w:val="仿宋"/>
    <w:panose1 w:val="00000000000000000000"/>
    <w:charset w:val="86"/>
    <w:family w:val="auto"/>
    <w:pitch w:val="default"/>
    <w:sig w:usb0="00000000" w:usb1="00000000" w:usb2="00000012" w:usb3="00000000" w:csb0="00040001" w:csb1="00000000"/>
  </w:font>
  <w:font w:name="华文楷体">
    <w:panose1 w:val="02010600040101010101"/>
    <w:charset w:val="86"/>
    <w:family w:val="auto"/>
    <w:pitch w:val="default"/>
    <w:sig w:usb0="00000287" w:usb1="080F0000" w:usb2="00000000" w:usb3="00000000" w:csb0="0004009F" w:csb1="DFD70000"/>
  </w:font>
  <w:font w:name="方正黑体_GBK">
    <w:altName w:val="微软雅黑"/>
    <w:panose1 w:val="03000509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right="360" w:firstLine="360"/>
    </w:pPr>
    <w:r>
      <w:rPr>
        <w:sz w:val="22"/>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8"/>
                            <w:ind w:left="420" w:leftChars="200" w:right="420" w:rightChars="200"/>
                            <w:rPr>
                              <w:rStyle w:val="15"/>
                              <w:rFonts w:hint="eastAsia" w:ascii="宋体" w:hAnsi="宋体"/>
                              <w:sz w:val="28"/>
                              <w:szCs w:val="28"/>
                            </w:rPr>
                          </w:pPr>
                          <w:r>
                            <w:rPr>
                              <w:rStyle w:val="15"/>
                              <w:rFonts w:hint="eastAsia" w:ascii="宋体" w:hAnsi="宋体"/>
                              <w:sz w:val="28"/>
                              <w:szCs w:val="28"/>
                            </w:rPr>
                            <w:t xml:space="preserve">— </w:t>
                          </w:r>
                          <w:r>
                            <w:rPr>
                              <w:rFonts w:ascii="宋体" w:hAnsi="宋体"/>
                              <w:sz w:val="28"/>
                              <w:szCs w:val="28"/>
                            </w:rPr>
                            <w:fldChar w:fldCharType="begin"/>
                          </w:r>
                          <w:r>
                            <w:rPr>
                              <w:rStyle w:val="15"/>
                              <w:rFonts w:ascii="宋体" w:hAnsi="宋体"/>
                              <w:sz w:val="28"/>
                              <w:szCs w:val="28"/>
                            </w:rPr>
                            <w:instrText xml:space="preserve">PAGE  </w:instrText>
                          </w:r>
                          <w:r>
                            <w:rPr>
                              <w:rFonts w:ascii="宋体" w:hAnsi="宋体"/>
                              <w:sz w:val="28"/>
                              <w:szCs w:val="28"/>
                            </w:rPr>
                            <w:fldChar w:fldCharType="separate"/>
                          </w:r>
                          <w:r>
                            <w:rPr>
                              <w:rStyle w:val="15"/>
                              <w:rFonts w:ascii="宋体" w:hAnsi="宋体"/>
                              <w:sz w:val="28"/>
                              <w:szCs w:val="28"/>
                            </w:rPr>
                            <w:t>1</w:t>
                          </w:r>
                          <w:r>
                            <w:rPr>
                              <w:rFonts w:ascii="宋体" w:hAnsi="宋体"/>
                              <w:sz w:val="28"/>
                              <w:szCs w:val="28"/>
                            </w:rPr>
                            <w:fldChar w:fldCharType="end"/>
                          </w:r>
                          <w:r>
                            <w:rPr>
                              <w:rStyle w:val="15"/>
                              <w:rFonts w:hint="eastAsia" w:ascii="宋体" w:hAnsi="宋体"/>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o&#10;aYJL0wAAAAUBAAAPAAAAAAAAAAEAIAAAACIAAABkcnMvZG93bnJldi54bWxQSwECFAAUAAAACACH&#10;TuJAxGInwbcBAABVAwAADgAAAAAAAAABACAAAAAiAQAAZHJzL2Uyb0RvYy54bWxQSwUGAAAAAAYA&#10;BgBZAQAASwUAAAAA&#10;">
              <v:fill on="f" focussize="0,0"/>
              <v:stroke on="f" weight="1.25pt"/>
              <v:imagedata o:title=""/>
              <o:lock v:ext="edit" aspectratio="f"/>
              <v:textbox inset="0mm,0mm,0mm,0mm" style="mso-fit-shape-to-text:t;">
                <w:txbxContent>
                  <w:p>
                    <w:pPr>
                      <w:pStyle w:val="8"/>
                      <w:ind w:left="420" w:leftChars="200" w:right="420" w:rightChars="200"/>
                      <w:rPr>
                        <w:rStyle w:val="15"/>
                        <w:rFonts w:hint="eastAsia" w:ascii="宋体" w:hAnsi="宋体"/>
                        <w:sz w:val="28"/>
                        <w:szCs w:val="28"/>
                      </w:rPr>
                    </w:pPr>
                    <w:r>
                      <w:rPr>
                        <w:rStyle w:val="15"/>
                        <w:rFonts w:hint="eastAsia" w:ascii="宋体" w:hAnsi="宋体"/>
                        <w:sz w:val="28"/>
                        <w:szCs w:val="28"/>
                      </w:rPr>
                      <w:t xml:space="preserve">— </w:t>
                    </w:r>
                    <w:r>
                      <w:rPr>
                        <w:rFonts w:ascii="宋体" w:hAnsi="宋体"/>
                        <w:sz w:val="28"/>
                        <w:szCs w:val="28"/>
                      </w:rPr>
                      <w:fldChar w:fldCharType="begin"/>
                    </w:r>
                    <w:r>
                      <w:rPr>
                        <w:rStyle w:val="15"/>
                        <w:rFonts w:ascii="宋体" w:hAnsi="宋体"/>
                        <w:sz w:val="28"/>
                        <w:szCs w:val="28"/>
                      </w:rPr>
                      <w:instrText xml:space="preserve">PAGE  </w:instrText>
                    </w:r>
                    <w:r>
                      <w:rPr>
                        <w:rFonts w:ascii="宋体" w:hAnsi="宋体"/>
                        <w:sz w:val="28"/>
                        <w:szCs w:val="28"/>
                      </w:rPr>
                      <w:fldChar w:fldCharType="separate"/>
                    </w:r>
                    <w:r>
                      <w:rPr>
                        <w:rStyle w:val="15"/>
                        <w:rFonts w:ascii="宋体" w:hAnsi="宋体"/>
                        <w:sz w:val="28"/>
                        <w:szCs w:val="28"/>
                      </w:rPr>
                      <w:t>1</w:t>
                    </w:r>
                    <w:r>
                      <w:rPr>
                        <w:rFonts w:ascii="宋体" w:hAnsi="宋体"/>
                        <w:sz w:val="28"/>
                        <w:szCs w:val="28"/>
                      </w:rPr>
                      <w:fldChar w:fldCharType="end"/>
                    </w:r>
                    <w:r>
                      <w:rPr>
                        <w:rStyle w:val="15"/>
                        <w:rFonts w:hint="eastAsia" w:ascii="宋体" w:hAnsi="宋体"/>
                        <w:sz w:val="28"/>
                        <w:szCs w:val="28"/>
                      </w:rPr>
                      <w:t xml:space="preserve"> —</w:t>
                    </w:r>
                  </w:p>
                </w:txbxContent>
              </v:textbox>
            </v:shape>
          </w:pict>
        </mc:Fallback>
      </mc:AlternateContent>
    </w:r>
    <w:r>
      <w:rPr>
        <w:sz w:val="22"/>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sz w:val="18"/>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ARqoqKrgEAAEsD&#10;AAAOAAAAAAAAAAEAIAAAAB4BAABkcnMvZTJvRG9jLnhtbFBLBQYAAAAABgAGAFkBAAA+BQAAAAA=&#10;">
              <v:fill on="f" focussize="0,0"/>
              <v:stroke on="f"/>
              <v:imagedata o:title=""/>
              <o:lock v:ext="edit" aspectratio="f"/>
              <v:textbox inset="0mm,0mm,0mm,0mm" style="mso-fit-shape-to-text:t;">
                <w:txbxContent>
                  <w:p>
                    <w:pPr>
                      <w:snapToGrid w:val="0"/>
                      <w:rPr>
                        <w:rFonts w:hint="eastAsia"/>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outside" w:y="1"/>
      <w:rPr>
        <w:rStyle w:val="15"/>
      </w:rPr>
    </w:pPr>
    <w:r>
      <w:fldChar w:fldCharType="begin"/>
    </w:r>
    <w:r>
      <w:rPr>
        <w:rStyle w:val="15"/>
      </w:rPr>
      <w:instrText xml:space="preserve">PAGE  </w:instrText>
    </w:r>
    <w:r>
      <w:fldChar w:fldCharType="separate"/>
    </w:r>
    <w:r>
      <w:fldChar w:fldCharType="end"/>
    </w:r>
  </w:p>
  <w:p>
    <w:pPr>
      <w:pStyle w:val="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8"/>
                            <w:rPr>
                              <w:rFonts w:hint="eastAsia" w:eastAsia="宋体"/>
                              <w:lang w:eastAsia="zh-CN"/>
                            </w:rPr>
                          </w:pPr>
                          <w:r>
                            <w:rPr>
                              <w:rFonts w:hint="eastAsia"/>
                              <w:sz w:val="24"/>
                              <w:szCs w:val="24"/>
                              <w:lang w:eastAsia="zh-CN"/>
                            </w:rPr>
                            <w:fldChar w:fldCharType="begin"/>
                          </w:r>
                          <w:r>
                            <w:rPr>
                              <w:rFonts w:hint="eastAsia"/>
                              <w:sz w:val="24"/>
                              <w:szCs w:val="24"/>
                              <w:lang w:eastAsia="zh-CN"/>
                            </w:rPr>
                            <w:instrText xml:space="preserve"> PAGE  \* MERGEFORMAT </w:instrText>
                          </w:r>
                          <w:r>
                            <w:rPr>
                              <w:rFonts w:hint="eastAsia"/>
                              <w:sz w:val="24"/>
                              <w:szCs w:val="24"/>
                              <w:lang w:eastAsia="zh-CN"/>
                            </w:rPr>
                            <w:fldChar w:fldCharType="separate"/>
                          </w:r>
                          <w:r>
                            <w:rPr>
                              <w:rFonts w:hint="eastAsia"/>
                              <w:sz w:val="24"/>
                              <w:szCs w:val="24"/>
                              <w:lang w:eastAsia="zh-CN"/>
                            </w:rPr>
                            <w:t>- 1 -</w:t>
                          </w:r>
                          <w:r>
                            <w:rPr>
                              <w:rFonts w:hint="eastAsia"/>
                              <w:sz w:val="24"/>
                              <w:szCs w:val="24"/>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Ghp&#10;gkvTAAAABQEAAA8AAAAAAAAAAQAgAAAAIgAAAGRycy9kb3ducmV2LnhtbFBLAQIUABQAAAAIAIdO&#10;4kBt/IvftgEAAFUDAAAOAAAAAAAAAAEAIAAAACIBAABkcnMvZTJvRG9jLnhtbFBLBQYAAAAABgAG&#10;AFkBAABKBQAAAAA=&#10;">
              <v:fill on="f" focussize="0,0"/>
              <v:stroke on="f" weight="1.25pt"/>
              <v:imagedata o:title=""/>
              <o:lock v:ext="edit" aspectratio="f"/>
              <v:textbox inset="0mm,0mm,0mm,0mm" style="mso-fit-shape-to-text:t;">
                <w:txbxContent>
                  <w:p>
                    <w:pPr>
                      <w:pStyle w:val="8"/>
                      <w:rPr>
                        <w:rFonts w:hint="eastAsia" w:eastAsia="宋体"/>
                        <w:lang w:eastAsia="zh-CN"/>
                      </w:rPr>
                    </w:pPr>
                    <w:r>
                      <w:rPr>
                        <w:rFonts w:hint="eastAsia"/>
                        <w:sz w:val="24"/>
                        <w:szCs w:val="24"/>
                        <w:lang w:eastAsia="zh-CN"/>
                      </w:rPr>
                      <w:fldChar w:fldCharType="begin"/>
                    </w:r>
                    <w:r>
                      <w:rPr>
                        <w:rFonts w:hint="eastAsia"/>
                        <w:sz w:val="24"/>
                        <w:szCs w:val="24"/>
                        <w:lang w:eastAsia="zh-CN"/>
                      </w:rPr>
                      <w:instrText xml:space="preserve"> PAGE  \* MERGEFORMAT </w:instrText>
                    </w:r>
                    <w:r>
                      <w:rPr>
                        <w:rFonts w:hint="eastAsia"/>
                        <w:sz w:val="24"/>
                        <w:szCs w:val="24"/>
                        <w:lang w:eastAsia="zh-CN"/>
                      </w:rPr>
                      <w:fldChar w:fldCharType="separate"/>
                    </w:r>
                    <w:r>
                      <w:rPr>
                        <w:rFonts w:hint="eastAsia"/>
                        <w:sz w:val="24"/>
                        <w:szCs w:val="24"/>
                        <w:lang w:eastAsia="zh-CN"/>
                      </w:rPr>
                      <w:t>- 1 -</w:t>
                    </w:r>
                    <w:r>
                      <w:rPr>
                        <w:rFonts w:hint="eastAsia"/>
                        <w:sz w:val="24"/>
                        <w:szCs w:val="24"/>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8"/>
                            <w:rPr>
                              <w:rFonts w:hint="eastAsia" w:eastAsia="宋体"/>
                              <w:lang w:eastAsia="zh-CN"/>
                            </w:rPr>
                          </w:pPr>
                          <w:r>
                            <w:rPr>
                              <w:rFonts w:hint="eastAsia" w:eastAsia="宋体"/>
                              <w:lang w:eastAsia="zh-CN"/>
                            </w:rPr>
                            <w:t xml:space="preserve">—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r>
                            <w:rPr>
                              <w:rFonts w:hint="eastAsia" w:eastAsia="宋体"/>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LNJWO7QAAAABQEAAA8AAAAAAAAA&#10;AQAgAAAAIgAAAGRycy9kb3ducmV2LnhtbFBLAQIUABQAAAAIAIdO4kBMUE45GQIAACEEAAAOAAAA&#10;AAAAAAEAIAAAAB8BAABkcnMvZTJvRG9jLnhtbFBLBQYAAAAABgAGAFkBAACqBQ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eastAsia="宋体"/>
                        <w:lang w:eastAsia="zh-CN"/>
                      </w:rPr>
                      <w:t xml:space="preserve">—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r>
                      <w:rPr>
                        <w:rFonts w:hint="eastAsia" w:eastAsia="宋体"/>
                        <w:lang w:eastAsia="zh-CN"/>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E23B88"/>
    <w:multiLevelType w:val="singleLevel"/>
    <w:tmpl w:val="5DE23B88"/>
    <w:lvl w:ilvl="0" w:tentative="0">
      <w:start w:val="1"/>
      <w:numFmt w:val="chineseCounting"/>
      <w:suff w:val="nothing"/>
      <w:lvlText w:val="（%1）"/>
      <w:lvlJc w:val="left"/>
    </w:lvl>
  </w:abstractNum>
  <w:abstractNum w:abstractNumId="1">
    <w:nsid w:val="5DE23C0C"/>
    <w:multiLevelType w:val="singleLevel"/>
    <w:tmpl w:val="5DE23C0C"/>
    <w:lvl w:ilvl="0" w:tentative="0">
      <w:start w:val="2"/>
      <w:numFmt w:val="chineseCounting"/>
      <w:suff w:val="nothing"/>
      <w:lvlText w:val="（%1）"/>
      <w:lvlJc w:val="left"/>
    </w:lvl>
  </w:abstractNum>
  <w:abstractNum w:abstractNumId="2">
    <w:nsid w:val="5DE23C9F"/>
    <w:multiLevelType w:val="singleLevel"/>
    <w:tmpl w:val="5DE23C9F"/>
    <w:lvl w:ilvl="0" w:tentative="0">
      <w:start w:val="2"/>
      <w:numFmt w:val="chineseCounting"/>
      <w:suff w:val="nothing"/>
      <w:lvlText w:val="（%1）"/>
      <w:lvlJc w:val="left"/>
    </w:lvl>
  </w:abstractNum>
  <w:abstractNum w:abstractNumId="3">
    <w:nsid w:val="5DE23CB8"/>
    <w:multiLevelType w:val="singleLevel"/>
    <w:tmpl w:val="5DE23CB8"/>
    <w:lvl w:ilvl="0" w:tentative="0">
      <w:start w:val="3"/>
      <w:numFmt w:val="chineseCounting"/>
      <w:suff w:val="nothing"/>
      <w:lvlText w:val="（%1）"/>
      <w:lvlJc w:val="left"/>
    </w:lvl>
  </w:abstractNum>
  <w:abstractNum w:abstractNumId="4">
    <w:nsid w:val="5DE23CCE"/>
    <w:multiLevelType w:val="singleLevel"/>
    <w:tmpl w:val="5DE23CCE"/>
    <w:lvl w:ilvl="0" w:tentative="0">
      <w:start w:val="4"/>
      <w:numFmt w:val="chineseCounting"/>
      <w:suff w:val="nothing"/>
      <w:lvlText w:val="（%1）"/>
      <w:lvlJc w:val="left"/>
    </w:lvl>
  </w:abstractNum>
  <w:abstractNum w:abstractNumId="5">
    <w:nsid w:val="5DE23CEF"/>
    <w:multiLevelType w:val="singleLevel"/>
    <w:tmpl w:val="5DE23CEF"/>
    <w:lvl w:ilvl="0" w:tentative="0">
      <w:start w:val="1"/>
      <w:numFmt w:val="chineseCounting"/>
      <w:suff w:val="nothing"/>
      <w:lvlText w:val="（%1）"/>
      <w:lvlJc w:val="left"/>
    </w:lvl>
  </w:abstractNum>
  <w:abstractNum w:abstractNumId="6">
    <w:nsid w:val="5DE23D05"/>
    <w:multiLevelType w:val="singleLevel"/>
    <w:tmpl w:val="5DE23D05"/>
    <w:lvl w:ilvl="0" w:tentative="0">
      <w:start w:val="2"/>
      <w:numFmt w:val="chineseCounting"/>
      <w:suff w:val="nothing"/>
      <w:lvlText w:val="（%1）"/>
      <w:lvlJc w:val="left"/>
    </w:lvl>
  </w:abstractNum>
  <w:abstractNum w:abstractNumId="7">
    <w:nsid w:val="5DE23D26"/>
    <w:multiLevelType w:val="singleLevel"/>
    <w:tmpl w:val="5DE23D26"/>
    <w:lvl w:ilvl="0" w:tentative="0">
      <w:start w:val="3"/>
      <w:numFmt w:val="chineseCounting"/>
      <w:suff w:val="nothing"/>
      <w:lvlText w:val="（%1）"/>
      <w:lvlJc w:val="left"/>
    </w:lvl>
  </w:abstractNum>
  <w:abstractNum w:abstractNumId="8">
    <w:nsid w:val="5DE23D3E"/>
    <w:multiLevelType w:val="singleLevel"/>
    <w:tmpl w:val="5DE23D3E"/>
    <w:lvl w:ilvl="0" w:tentative="0">
      <w:start w:val="4"/>
      <w:numFmt w:val="chineseCounting"/>
      <w:suff w:val="nothing"/>
      <w:lvlText w:val="（%1）"/>
      <w:lvlJc w:val="left"/>
    </w:lvl>
  </w:abstractNum>
  <w:abstractNum w:abstractNumId="9">
    <w:nsid w:val="5DE23D65"/>
    <w:multiLevelType w:val="singleLevel"/>
    <w:tmpl w:val="5DE23D65"/>
    <w:lvl w:ilvl="0" w:tentative="0">
      <w:start w:val="2"/>
      <w:numFmt w:val="chineseCounting"/>
      <w:suff w:val="nothing"/>
      <w:lvlText w:val="（%1）"/>
      <w:lvlJc w:val="left"/>
    </w:lvl>
  </w:abstractNum>
  <w:abstractNum w:abstractNumId="10">
    <w:nsid w:val="5DE23D7D"/>
    <w:multiLevelType w:val="singleLevel"/>
    <w:tmpl w:val="5DE23D7D"/>
    <w:lvl w:ilvl="0" w:tentative="0">
      <w:start w:val="3"/>
      <w:numFmt w:val="chineseCounting"/>
      <w:suff w:val="nothing"/>
      <w:lvlText w:val="（%1）"/>
      <w:lvlJc w:val="left"/>
    </w:lvl>
  </w:abstractNum>
  <w:abstractNum w:abstractNumId="11">
    <w:nsid w:val="5DE23DC2"/>
    <w:multiLevelType w:val="singleLevel"/>
    <w:tmpl w:val="5DE23DC2"/>
    <w:lvl w:ilvl="0" w:tentative="0">
      <w:start w:val="2"/>
      <w:numFmt w:val="chineseCounting"/>
      <w:suff w:val="nothing"/>
      <w:lvlText w:val="（%1）"/>
      <w:lvlJc w:val="left"/>
    </w:lvl>
  </w:abstractNum>
  <w:abstractNum w:abstractNumId="12">
    <w:nsid w:val="5DE23DD9"/>
    <w:multiLevelType w:val="singleLevel"/>
    <w:tmpl w:val="5DE23DD9"/>
    <w:lvl w:ilvl="0" w:tentative="0">
      <w:start w:val="3"/>
      <w:numFmt w:val="chineseCounting"/>
      <w:suff w:val="nothing"/>
      <w:lvlText w:val="（%1）"/>
      <w:lvlJc w:val="left"/>
    </w:lvl>
  </w:abstractNum>
  <w:abstractNum w:abstractNumId="13">
    <w:nsid w:val="5DE23DF1"/>
    <w:multiLevelType w:val="singleLevel"/>
    <w:tmpl w:val="5DE23DF1"/>
    <w:lvl w:ilvl="0" w:tentative="0">
      <w:start w:val="4"/>
      <w:numFmt w:val="chineseCounting"/>
      <w:suff w:val="nothing"/>
      <w:lvlText w:val="（%1）"/>
      <w:lvlJc w:val="left"/>
    </w:lvl>
  </w:abstractNum>
  <w:abstractNum w:abstractNumId="14">
    <w:nsid w:val="5DE23F2C"/>
    <w:multiLevelType w:val="singleLevel"/>
    <w:tmpl w:val="5DE23F2C"/>
    <w:lvl w:ilvl="0" w:tentative="0">
      <w:start w:val="2"/>
      <w:numFmt w:val="chineseCounting"/>
      <w:suff w:val="nothing"/>
      <w:lvlText w:val="（%1）"/>
      <w:lvlJc w:val="left"/>
    </w:lvl>
  </w:abstractNum>
  <w:abstractNum w:abstractNumId="15">
    <w:nsid w:val="5DE23F40"/>
    <w:multiLevelType w:val="singleLevel"/>
    <w:tmpl w:val="5DE23F40"/>
    <w:lvl w:ilvl="0" w:tentative="0">
      <w:start w:val="3"/>
      <w:numFmt w:val="chineseCounting"/>
      <w:suff w:val="nothing"/>
      <w:lvlText w:val="（%1）"/>
      <w:lvlJc w:val="left"/>
    </w:lvl>
  </w:abstractNum>
  <w:num w:numId="1">
    <w:abstractNumId w:val="0"/>
  </w:num>
  <w:num w:numId="2">
    <w:abstractNumId w:val="11"/>
  </w:num>
  <w:num w:numId="3">
    <w:abstractNumId w:val="12"/>
  </w:num>
  <w:num w:numId="4">
    <w:abstractNumId w:val="13"/>
  </w:num>
  <w:num w:numId="5">
    <w:abstractNumId w:val="1"/>
  </w:num>
  <w:num w:numId="6">
    <w:abstractNumId w:val="14"/>
  </w:num>
  <w:num w:numId="7">
    <w:abstractNumId w:val="15"/>
  </w:num>
  <w:num w:numId="8">
    <w:abstractNumId w:val="2"/>
  </w:num>
  <w:num w:numId="9">
    <w:abstractNumId w:val="3"/>
  </w:num>
  <w:num w:numId="10">
    <w:abstractNumId w:val="4"/>
  </w:num>
  <w:num w:numId="11">
    <w:abstractNumId w:val="5"/>
  </w:num>
  <w:num w:numId="12">
    <w:abstractNumId w:val="6"/>
  </w:num>
  <w:num w:numId="13">
    <w:abstractNumId w:val="7"/>
  </w:num>
  <w:num w:numId="14">
    <w:abstractNumId w:val="8"/>
  </w:num>
  <w:num w:numId="15">
    <w:abstractNumId w:val="9"/>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C6577AD"/>
    <w:rsid w:val="53E964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99"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keepLines/>
      <w:spacing w:before="340" w:beforeLines="0" w:after="330" w:afterLines="0" w:line="576" w:lineRule="auto"/>
      <w:outlineLvl w:val="0"/>
    </w:pPr>
    <w:rPr>
      <w:kern w:val="44"/>
      <w:sz w:val="44"/>
      <w:szCs w:val="44"/>
    </w:rPr>
  </w:style>
  <w:style w:type="character" w:default="1" w:styleId="13">
    <w:name w:val="Default Paragraph Font"/>
    <w:link w:val="14"/>
    <w:semiHidden/>
    <w:uiPriority w:val="0"/>
  </w:style>
  <w:style w:type="table" w:default="1" w:styleId="12">
    <w:name w:val="Normal Table"/>
    <w:semiHidden/>
    <w:qFormat/>
    <w:uiPriority w:val="0"/>
    <w:tblPr>
      <w:tblLayout w:type="fixed"/>
      <w:tblCellMar>
        <w:top w:w="0" w:type="dxa"/>
        <w:left w:w="108" w:type="dxa"/>
        <w:bottom w:w="0" w:type="dxa"/>
        <w:right w:w="108" w:type="dxa"/>
      </w:tblCellMar>
    </w:tblPr>
  </w:style>
  <w:style w:type="paragraph" w:styleId="2">
    <w:name w:val="Plain Text"/>
    <w:basedOn w:val="1"/>
    <w:qFormat/>
    <w:uiPriority w:val="99"/>
    <w:rPr>
      <w:rFonts w:ascii="宋体" w:hAnsi="Courier New" w:cs="黑体"/>
    </w:rPr>
  </w:style>
  <w:style w:type="paragraph" w:styleId="4">
    <w:name w:val="index 5"/>
    <w:basedOn w:val="1"/>
    <w:next w:val="1"/>
    <w:semiHidden/>
    <w:qFormat/>
    <w:uiPriority w:val="99"/>
    <w:pPr>
      <w:spacing w:line="576" w:lineRule="exact"/>
    </w:pPr>
    <w:rPr>
      <w:rFonts w:ascii="仿宋_GB2312" w:hAnsi="仿宋_GB2312" w:eastAsia="黑体" w:cs="仿宋_GB2312"/>
      <w:color w:val="FF0000"/>
    </w:rPr>
  </w:style>
  <w:style w:type="paragraph" w:styleId="5">
    <w:name w:val="Body Text"/>
    <w:basedOn w:val="1"/>
    <w:next w:val="4"/>
    <w:qFormat/>
    <w:uiPriority w:val="0"/>
    <w:pPr>
      <w:widowControl w:val="0"/>
      <w:spacing w:after="120" w:line="240" w:lineRule="auto"/>
      <w:jc w:val="both"/>
    </w:pPr>
    <w:rPr>
      <w:rFonts w:ascii="Calibri" w:hAnsi="Calibri" w:eastAsia="宋体" w:cs="Times New Roman"/>
      <w:kern w:val="2"/>
      <w:sz w:val="21"/>
      <w:lang w:val="en-US"/>
    </w:rPr>
  </w:style>
  <w:style w:type="paragraph" w:styleId="6">
    <w:name w:val="Body Text Indent"/>
    <w:basedOn w:val="1"/>
    <w:next w:val="1"/>
    <w:qFormat/>
    <w:uiPriority w:val="0"/>
    <w:pPr>
      <w:ind w:firstLine="630"/>
    </w:pPr>
    <w:rPr>
      <w:rFonts w:eastAsia="仿宋_GB2312"/>
      <w:b/>
      <w:sz w:val="32"/>
    </w:rPr>
  </w:style>
  <w:style w:type="paragraph" w:styleId="7">
    <w:name w:val="Body Text Indent 2"/>
    <w:basedOn w:val="1"/>
    <w:qFormat/>
    <w:uiPriority w:val="0"/>
    <w:pPr>
      <w:spacing w:after="120" w:afterLines="0" w:line="480" w:lineRule="auto"/>
      <w:ind w:left="420" w:leftChars="200"/>
    </w:p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uiPriority w:val="0"/>
    <w:pPr>
      <w:spacing w:before="100" w:beforeAutospacing="1" w:after="100" w:afterAutospacing="1"/>
      <w:ind w:left="0" w:right="0"/>
      <w:jc w:val="left"/>
    </w:pPr>
    <w:rPr>
      <w:kern w:val="0"/>
      <w:sz w:val="24"/>
      <w:lang w:val="en-US" w:eastAsia="zh-CN" w:bidi="ar"/>
    </w:rPr>
  </w:style>
  <w:style w:type="paragraph" w:styleId="11">
    <w:name w:val="Body Text First Indent 2"/>
    <w:basedOn w:val="6"/>
    <w:qFormat/>
    <w:uiPriority w:val="0"/>
    <w:pPr>
      <w:ind w:firstLine="420" w:firstLineChars="200"/>
    </w:pPr>
    <w:rPr>
      <w:rFonts w:cs="Times New Roman"/>
    </w:rPr>
  </w:style>
  <w:style w:type="paragraph" w:customStyle="1" w:styleId="14">
    <w:name w:val=" Char Char Char Char Char Char Char"/>
    <w:basedOn w:val="1"/>
    <w:link w:val="13"/>
    <w:qFormat/>
    <w:uiPriority w:val="0"/>
    <w:pPr>
      <w:snapToGrid w:val="0"/>
      <w:spacing w:line="360" w:lineRule="auto"/>
      <w:ind w:firstLine="200" w:firstLineChars="200"/>
    </w:pPr>
  </w:style>
  <w:style w:type="character" w:styleId="15">
    <w:name w:val="page number"/>
    <w:basedOn w:val="13"/>
    <w:qFormat/>
    <w:uiPriority w:val="0"/>
  </w:style>
  <w:style w:type="character" w:styleId="16">
    <w:name w:val="FollowedHyperlink"/>
    <w:basedOn w:val="13"/>
    <w:qFormat/>
    <w:uiPriority w:val="0"/>
    <w:rPr>
      <w:rFonts w:cs="Times New Roman"/>
      <w:color w:val="954F72"/>
      <w:u w:val="single"/>
    </w:rPr>
  </w:style>
  <w:style w:type="paragraph" w:customStyle="1" w:styleId="17">
    <w:name w:val="正文样式"/>
    <w:basedOn w:val="1"/>
    <w:qFormat/>
    <w:uiPriority w:val="7"/>
    <w:pPr>
      <w:ind w:firstLine="480" w:firstLineChars="200"/>
    </w:pPr>
    <w:rPr>
      <w:sz w:val="24"/>
      <w:szCs w:val="24"/>
    </w:rPr>
  </w:style>
  <w:style w:type="paragraph" w:customStyle="1" w:styleId="18">
    <w:name w:val="Normal Indent"/>
    <w:basedOn w:val="1"/>
    <w:qFormat/>
    <w:uiPriority w:val="0"/>
    <w:pPr>
      <w:ind w:firstLine="200" w:firstLineChars="200"/>
    </w:pPr>
    <w:rPr>
      <w:rFonts w:eastAsia="楷体_GB2312"/>
    </w:rPr>
  </w:style>
  <w:style w:type="paragraph" w:customStyle="1" w:styleId="19">
    <w:name w:val="正文缩进1"/>
    <w:basedOn w:val="1"/>
    <w:qFormat/>
    <w:uiPriority w:val="0"/>
    <w:pPr>
      <w:ind w:firstLine="200" w:firstLineChars="200"/>
    </w:pPr>
    <w:rPr>
      <w:rFonts w:eastAsia="楷体_GB2312"/>
    </w:rPr>
  </w:style>
  <w:style w:type="character" w:customStyle="1" w:styleId="20">
    <w:name w:val="fontstyle01"/>
    <w:basedOn w:val="13"/>
    <w:qFormat/>
    <w:uiPriority w:val="0"/>
    <w:rPr>
      <w:rFonts w:ascii="TT10Do00" w:hAnsi="TT10Do00" w:eastAsia="TT10Do00" w:cs="TT10Do00"/>
      <w:color w:val="000000"/>
      <w:sz w:val="28"/>
      <w:szCs w:val="28"/>
    </w:rPr>
  </w:style>
  <w:style w:type="character" w:customStyle="1" w:styleId="21">
    <w:name w:val="NormalCharacter"/>
    <w:link w:val="22"/>
    <w:semiHidden/>
    <w:qFormat/>
    <w:uiPriority w:val="0"/>
  </w:style>
  <w:style w:type="paragraph" w:customStyle="1" w:styleId="22">
    <w:name w:val="UserStyle_45"/>
    <w:basedOn w:val="1"/>
    <w:link w:val="21"/>
    <w:qFormat/>
    <w:uiPriority w:val="0"/>
    <w:pPr>
      <w:widowControl/>
      <w:spacing w:after="160" w:line="240" w:lineRule="exact"/>
      <w:jc w:val="left"/>
      <w:textAlignment w:val="baseline"/>
    </w:pPr>
  </w:style>
  <w:style w:type="paragraph" w:customStyle="1" w:styleId="23">
    <w:name w:val="列出段落1"/>
    <w:basedOn w:val="1"/>
    <w:qFormat/>
    <w:uiPriority w:val="0"/>
    <w:pPr>
      <w:ind w:firstLine="20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2023-01-12T09:07:00Z</dcterms:created>
  <dc:creator>yu123</dc:creator>
  <cp:lastModifiedBy>yu123</cp:lastModifiedBy>
  <dcterms:modified xsi:type="dcterms:W3CDTF">2023-01-13T01:59:30Z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