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60" w:lineRule="exact"/>
        <w:jc w:val="center"/>
        <w:rPr>
          <w:rFonts w:hint="default" w:ascii="Times New Roman" w:hAnsi="Times New Roman" w:eastAsia="方正小标宋简体" w:cs="Times New Roman"/>
          <w:spacing w:val="-19"/>
          <w:sz w:val="44"/>
          <w:szCs w:val="44"/>
        </w:rPr>
      </w:pPr>
      <w:bookmarkStart w:id="3" w:name="_GoBack"/>
      <w:r>
        <w:rPr>
          <w:rFonts w:hint="default" w:ascii="Times New Roman" w:hAnsi="Times New Roman" w:eastAsia="方正小标宋简体" w:cs="Times New Roman"/>
          <w:spacing w:val="-19"/>
          <w:sz w:val="44"/>
          <w:szCs w:val="44"/>
        </w:rPr>
        <w:t>关于印发</w:t>
      </w:r>
      <w:r>
        <w:rPr>
          <w:rFonts w:hint="default" w:ascii="Times New Roman" w:hAnsi="Times New Roman" w:eastAsia="方正小标宋简体" w:cs="Times New Roman"/>
          <w:spacing w:val="-19"/>
          <w:sz w:val="44"/>
          <w:szCs w:val="44"/>
          <w:lang w:val="en-US" w:eastAsia="zh-CN"/>
        </w:rPr>
        <w:t>2020年</w:t>
      </w:r>
      <w:r>
        <w:rPr>
          <w:rFonts w:hint="default" w:ascii="Times New Roman" w:hAnsi="Times New Roman" w:eastAsia="方正小标宋简体" w:cs="Times New Roman"/>
          <w:spacing w:val="-19"/>
          <w:sz w:val="44"/>
          <w:szCs w:val="44"/>
        </w:rPr>
        <w:t>中国（陕西）自由</w:t>
      </w:r>
      <w:bookmarkEnd w:id="3"/>
      <w:r>
        <w:rPr>
          <w:rFonts w:hint="default" w:ascii="Times New Roman" w:hAnsi="Times New Roman" w:eastAsia="方正小标宋简体" w:cs="Times New Roman"/>
          <w:spacing w:val="-19"/>
          <w:sz w:val="44"/>
          <w:szCs w:val="44"/>
        </w:rPr>
        <w:t>贸易试验区</w:t>
      </w:r>
    </w:p>
    <w:p>
      <w:pPr>
        <w:snapToGrid w:val="0"/>
        <w:spacing w:line="560" w:lineRule="exact"/>
        <w:jc w:val="center"/>
        <w:rPr>
          <w:rFonts w:hint="default" w:ascii="Times New Roman" w:hAnsi="Times New Roman" w:eastAsia="方正小标宋简体" w:cs="Times New Roman"/>
          <w:spacing w:val="-19"/>
          <w:sz w:val="44"/>
          <w:szCs w:val="44"/>
          <w:lang w:eastAsia="zh-CN"/>
        </w:rPr>
      </w:pPr>
      <w:r>
        <w:rPr>
          <w:rFonts w:hint="default" w:ascii="Times New Roman" w:hAnsi="Times New Roman" w:eastAsia="方正小标宋简体" w:cs="Times New Roman"/>
          <w:spacing w:val="-19"/>
          <w:sz w:val="44"/>
          <w:szCs w:val="44"/>
          <w:lang w:eastAsia="zh-CN"/>
        </w:rPr>
        <w:t>“</w:t>
      </w:r>
      <w:r>
        <w:rPr>
          <w:rFonts w:hint="default" w:ascii="Times New Roman" w:hAnsi="Times New Roman" w:eastAsia="方正小标宋简体" w:cs="Times New Roman"/>
          <w:spacing w:val="-19"/>
          <w:sz w:val="44"/>
          <w:szCs w:val="44"/>
        </w:rPr>
        <w:t>最佳实践案例</w:t>
      </w:r>
      <w:r>
        <w:rPr>
          <w:rFonts w:hint="default" w:ascii="Times New Roman" w:hAnsi="Times New Roman" w:eastAsia="方正小标宋简体" w:cs="Times New Roman"/>
          <w:spacing w:val="-19"/>
          <w:sz w:val="44"/>
          <w:szCs w:val="44"/>
          <w:lang w:eastAsia="zh-CN"/>
        </w:rPr>
        <w:t>”</w:t>
      </w:r>
      <w:r>
        <w:rPr>
          <w:rFonts w:hint="default" w:ascii="Times New Roman" w:hAnsi="Times New Roman" w:eastAsia="方正小标宋简体" w:cs="Times New Roman"/>
          <w:spacing w:val="-19"/>
          <w:sz w:val="44"/>
          <w:szCs w:val="44"/>
        </w:rPr>
        <w:t>的</w:t>
      </w:r>
      <w:r>
        <w:rPr>
          <w:rFonts w:hint="default" w:ascii="Times New Roman" w:hAnsi="Times New Roman" w:eastAsia="方正小标宋简体" w:cs="Times New Roman"/>
          <w:spacing w:val="-19"/>
          <w:sz w:val="44"/>
          <w:szCs w:val="44"/>
          <w:lang w:eastAsia="zh-CN"/>
        </w:rPr>
        <w:t>通知</w:t>
      </w:r>
    </w:p>
    <w:p>
      <w:pPr>
        <w:spacing w:line="560" w:lineRule="exact"/>
        <w:rPr>
          <w:rFonts w:hint="default" w:ascii="Times New Roman" w:hAnsi="Times New Roman" w:eastAsia="仿宋" w:cs="Times New Roman"/>
          <w:sz w:val="32"/>
          <w:szCs w:val="32"/>
        </w:rPr>
      </w:pPr>
    </w:p>
    <w:p>
      <w:pPr>
        <w:snapToGrid w:val="0"/>
        <w:spacing w:line="56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省级各有关部门，</w:t>
      </w:r>
      <w:r>
        <w:rPr>
          <w:rFonts w:hint="default" w:ascii="Times New Roman" w:hAnsi="Times New Roman" w:eastAsia="仿宋_GB2312" w:cs="Times New Roman"/>
          <w:sz w:val="32"/>
          <w:szCs w:val="32"/>
        </w:rPr>
        <w:t>西安市政府、杨凌示范区管委会、西咸新区管委会：</w:t>
      </w:r>
    </w:p>
    <w:p>
      <w:pPr>
        <w:snapToGrid w:val="0"/>
        <w:spacing w:line="560" w:lineRule="exact"/>
        <w:ind w:firstLine="654"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建设自由贸易试验区是党中央、国务院在新形势下全面深化改革和扩大开放的一项战略举措</w:t>
      </w:r>
      <w:r>
        <w:rPr>
          <w:rFonts w:hint="default" w:ascii="Times New Roman" w:hAnsi="Times New Roman" w:eastAsia="仿宋_GB2312" w:cs="Times New Roman"/>
          <w:sz w:val="32"/>
          <w:szCs w:val="32"/>
          <w:lang w:eastAsia="zh-CN"/>
        </w:rPr>
        <w:t>，在我国改革开放进程中具有里程碑意义</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一段时间以来，</w:t>
      </w:r>
      <w:r>
        <w:rPr>
          <w:rFonts w:hint="default" w:ascii="Times New Roman" w:hAnsi="Times New Roman" w:eastAsia="仿宋_GB2312" w:cs="Times New Roman"/>
          <w:sz w:val="32"/>
          <w:szCs w:val="32"/>
        </w:rPr>
        <w:t>省级各有关部门和自贸试验区各管委会、功能区</w:t>
      </w:r>
      <w:r>
        <w:rPr>
          <w:rFonts w:hint="default" w:ascii="Times New Roman" w:hAnsi="Times New Roman" w:eastAsia="仿宋_GB2312" w:cs="Times New Roman"/>
          <w:sz w:val="32"/>
          <w:szCs w:val="32"/>
          <w:lang w:eastAsia="zh-CN"/>
        </w:rPr>
        <w:t>锐意进取</w:t>
      </w:r>
      <w:r>
        <w:rPr>
          <w:rFonts w:hint="default" w:ascii="Times New Roman" w:hAnsi="Times New Roman" w:eastAsia="仿宋_GB2312" w:cs="Times New Roman"/>
          <w:sz w:val="32"/>
          <w:szCs w:val="32"/>
        </w:rPr>
        <w:t>、大胆创新，在</w:t>
      </w:r>
      <w:r>
        <w:rPr>
          <w:rFonts w:hint="default" w:ascii="Times New Roman" w:hAnsi="Times New Roman" w:eastAsia="仿宋_GB2312" w:cs="Times New Roman"/>
          <w:sz w:val="32"/>
          <w:szCs w:val="32"/>
          <w:lang w:eastAsia="zh-CN"/>
        </w:rPr>
        <w:t>营商环境优化、差别化改革创新、推动产业高质量发展</w:t>
      </w:r>
      <w:r>
        <w:rPr>
          <w:rFonts w:hint="default" w:ascii="Times New Roman" w:hAnsi="Times New Roman" w:eastAsia="仿宋_GB2312" w:cs="Times New Roman"/>
          <w:sz w:val="32"/>
          <w:szCs w:val="32"/>
        </w:rPr>
        <w:t>等方面</w:t>
      </w:r>
      <w:r>
        <w:rPr>
          <w:rFonts w:hint="default" w:ascii="Times New Roman" w:hAnsi="Times New Roman" w:eastAsia="仿宋_GB2312" w:cs="Times New Roman"/>
          <w:sz w:val="32"/>
          <w:szCs w:val="32"/>
          <w:lang w:eastAsia="zh-CN"/>
        </w:rPr>
        <w:t>取得了</w:t>
      </w:r>
      <w:r>
        <w:rPr>
          <w:rFonts w:hint="default" w:ascii="Times New Roman" w:hAnsi="Times New Roman" w:eastAsia="仿宋_GB2312" w:cs="Times New Roman"/>
          <w:sz w:val="32"/>
          <w:szCs w:val="32"/>
        </w:rPr>
        <w:t>显著成效，推动形成了一批制度创新性强、市场主体</w:t>
      </w:r>
      <w:r>
        <w:rPr>
          <w:rFonts w:hint="default" w:ascii="Times New Roman" w:hAnsi="Times New Roman" w:eastAsia="仿宋_GB2312" w:cs="Times New Roman"/>
          <w:sz w:val="32"/>
          <w:szCs w:val="32"/>
          <w:lang w:eastAsia="zh-CN"/>
        </w:rPr>
        <w:t>反映</w:t>
      </w:r>
      <w:r>
        <w:rPr>
          <w:rFonts w:hint="default" w:ascii="Times New Roman" w:hAnsi="Times New Roman" w:eastAsia="仿宋_GB2312" w:cs="Times New Roman"/>
          <w:sz w:val="32"/>
          <w:szCs w:val="32"/>
        </w:rPr>
        <w:t>好的</w:t>
      </w:r>
      <w:r>
        <w:rPr>
          <w:rFonts w:hint="default" w:ascii="Times New Roman" w:hAnsi="Times New Roman" w:eastAsia="仿宋_GB2312" w:cs="Times New Roman"/>
          <w:sz w:val="32"/>
          <w:szCs w:val="32"/>
          <w:lang w:eastAsia="zh-CN"/>
        </w:rPr>
        <w:t>创新</w:t>
      </w:r>
      <w:r>
        <w:rPr>
          <w:rFonts w:hint="default" w:ascii="Times New Roman" w:hAnsi="Times New Roman" w:eastAsia="仿宋_GB2312" w:cs="Times New Roman"/>
          <w:sz w:val="32"/>
          <w:szCs w:val="32"/>
        </w:rPr>
        <w:t>案例</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为</w:t>
      </w:r>
      <w:r>
        <w:rPr>
          <w:rFonts w:hint="default" w:ascii="Times New Roman" w:hAnsi="Times New Roman" w:eastAsia="仿宋_GB2312" w:cs="Times New Roman"/>
          <w:sz w:val="32"/>
          <w:szCs w:val="32"/>
          <w:lang w:eastAsia="zh-CN"/>
        </w:rPr>
        <w:t>我省</w:t>
      </w:r>
      <w:r>
        <w:rPr>
          <w:rFonts w:hint="default" w:ascii="Times New Roman" w:hAnsi="Times New Roman" w:eastAsia="仿宋_GB2312" w:cs="Times New Roman"/>
          <w:sz w:val="32"/>
          <w:szCs w:val="32"/>
        </w:rPr>
        <w:t>构建国内国际双循环相互促进的新发展格局积累了有益经验。</w:t>
      </w:r>
      <w:r>
        <w:rPr>
          <w:rFonts w:hint="default" w:ascii="Times New Roman" w:hAnsi="Times New Roman" w:eastAsia="仿宋_GB2312" w:cs="Times New Roman"/>
          <w:sz w:val="32"/>
          <w:szCs w:val="32"/>
          <w:lang w:eastAsia="zh-CN"/>
        </w:rPr>
        <w:t>为进一步发挥自贸试验区引领示范作用，</w:t>
      </w:r>
      <w:r>
        <w:rPr>
          <w:rFonts w:hint="default" w:ascii="Times New Roman" w:hAnsi="Times New Roman" w:eastAsia="仿宋_GB2312" w:cs="Times New Roman"/>
          <w:sz w:val="32"/>
          <w:szCs w:val="32"/>
        </w:rPr>
        <w:t>省自贸办</w:t>
      </w:r>
      <w:r>
        <w:rPr>
          <w:rFonts w:hint="default" w:ascii="Times New Roman" w:hAnsi="Times New Roman" w:eastAsia="仿宋_GB2312" w:cs="Times New Roman"/>
          <w:sz w:val="32"/>
          <w:szCs w:val="32"/>
          <w:lang w:eastAsia="zh-CN"/>
        </w:rPr>
        <w:t>从今年以来各单位报送的</w:t>
      </w:r>
      <w:r>
        <w:rPr>
          <w:rFonts w:hint="default" w:ascii="Times New Roman" w:hAnsi="Times New Roman" w:eastAsia="仿宋_GB2312" w:cs="Times New Roman"/>
          <w:sz w:val="32"/>
          <w:szCs w:val="32"/>
          <w:lang w:val="en-US" w:eastAsia="zh-CN"/>
        </w:rPr>
        <w:t>108个案例</w:t>
      </w:r>
      <w:r>
        <w:rPr>
          <w:rFonts w:hint="default" w:ascii="Times New Roman" w:hAnsi="Times New Roman" w:eastAsia="仿宋_GB2312" w:cs="Times New Roman"/>
          <w:sz w:val="32"/>
          <w:szCs w:val="32"/>
          <w:lang w:eastAsia="zh-CN"/>
        </w:rPr>
        <w:t>中，评选出</w:t>
      </w:r>
      <w:r>
        <w:rPr>
          <w:rFonts w:hint="default" w:ascii="Times New Roman" w:hAnsi="Times New Roman" w:eastAsia="仿宋_GB2312" w:cs="Times New Roman"/>
          <w:sz w:val="32"/>
          <w:szCs w:val="32"/>
          <w:lang w:val="en-US" w:eastAsia="zh-CN"/>
        </w:rPr>
        <w:t>9</w:t>
      </w:r>
      <w:r>
        <w:rPr>
          <w:rFonts w:hint="default" w:ascii="Times New Roman" w:hAnsi="Times New Roman" w:eastAsia="仿宋_GB2312" w:cs="Times New Roman"/>
          <w:sz w:val="32"/>
          <w:szCs w:val="32"/>
        </w:rPr>
        <w:t>个成效较为突出的案例，</w:t>
      </w:r>
      <w:r>
        <w:rPr>
          <w:rFonts w:hint="default" w:ascii="Times New Roman" w:hAnsi="Times New Roman" w:eastAsia="仿宋_GB2312" w:cs="Times New Roman"/>
          <w:sz w:val="32"/>
          <w:szCs w:val="32"/>
          <w:lang w:eastAsia="zh-CN"/>
        </w:rPr>
        <w:t>作为</w:t>
      </w:r>
      <w:r>
        <w:rPr>
          <w:rFonts w:hint="default" w:ascii="Times New Roman" w:hAnsi="Times New Roman" w:eastAsia="仿宋_GB2312" w:cs="Times New Roman"/>
          <w:sz w:val="32"/>
          <w:szCs w:val="32"/>
          <w:lang w:val="en-US" w:eastAsia="zh-CN"/>
        </w:rPr>
        <w:t>2020年</w:t>
      </w:r>
      <w:r>
        <w:rPr>
          <w:rFonts w:hint="default" w:ascii="Times New Roman" w:hAnsi="Times New Roman" w:eastAsia="仿宋_GB2312" w:cs="Times New Roman"/>
          <w:sz w:val="32"/>
          <w:szCs w:val="32"/>
        </w:rPr>
        <w:t>中国（陕西）自由贸易试验区“最佳实践案例”</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现予以印发，供各单位在深化改革、扩大开放过程中学习借鉴。</w:t>
      </w:r>
    </w:p>
    <w:p>
      <w:pPr>
        <w:snapToGrid w:val="0"/>
        <w:spacing w:line="560" w:lineRule="exact"/>
        <w:ind w:firstLine="654"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联</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系</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人：孙嘉晨  </w:t>
      </w:r>
    </w:p>
    <w:p>
      <w:pPr>
        <w:snapToGrid w:val="0"/>
        <w:spacing w:line="560" w:lineRule="exact"/>
        <w:ind w:firstLine="654"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联系电话：</w:t>
      </w:r>
      <w:r>
        <w:rPr>
          <w:rFonts w:hint="default" w:ascii="Times New Roman" w:hAnsi="Times New Roman" w:eastAsia="仿宋_GB2312" w:cs="Times New Roman"/>
          <w:sz w:val="32"/>
          <w:szCs w:val="32"/>
          <w:lang w:val="en-US" w:eastAsia="zh-CN"/>
        </w:rPr>
        <w:t>63914098</w:t>
      </w:r>
    </w:p>
    <w:p>
      <w:pPr>
        <w:snapToGrid w:val="0"/>
        <w:spacing w:line="560" w:lineRule="exact"/>
        <w:ind w:firstLine="3924" w:firstLineChars="1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中国（陕西）自由贸易试验区工作</w:t>
      </w:r>
    </w:p>
    <w:p>
      <w:pPr>
        <w:snapToGrid w:val="0"/>
        <w:spacing w:line="560" w:lineRule="exact"/>
        <w:ind w:firstLine="4578" w:firstLineChars="14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领导小组办公室（代章）</w:t>
      </w:r>
    </w:p>
    <w:p>
      <w:pPr>
        <w:snapToGrid w:val="0"/>
        <w:spacing w:line="560" w:lineRule="exact"/>
        <w:ind w:firstLine="654"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 xml:space="preserve">                          2020年12月4日</w:t>
      </w:r>
    </w:p>
    <w:p>
      <w:pPr>
        <w:pStyle w:val="18"/>
        <w:ind w:left="0" w:leftChars="0" w:firstLine="0" w:firstLineChars="0"/>
        <w:jc w:val="center"/>
        <w:rPr>
          <w:rFonts w:hint="default" w:ascii="Times New Roman" w:hAnsi="Times New Roman" w:eastAsia="方正小标宋简体" w:cs="Times New Roman"/>
          <w:b w:val="0"/>
          <w:bCs w:val="0"/>
          <w:sz w:val="44"/>
          <w:szCs w:val="44"/>
          <w:lang w:val="en-US" w:eastAsia="zh-CN"/>
        </w:rPr>
        <w:sectPr>
          <w:footerReference r:id="rId3" w:type="default"/>
          <w:pgSz w:w="11906" w:h="16838"/>
          <w:pgMar w:top="2098" w:right="1474" w:bottom="1984" w:left="1587" w:header="851" w:footer="1587" w:gutter="0"/>
          <w:pgNumType w:fmt="decimal"/>
          <w:cols w:space="720" w:num="1"/>
          <w:rtlGutter w:val="0"/>
          <w:docGrid w:type="linesAndChars" w:linePitch="439" w:charSpace="1554"/>
        </w:sectPr>
      </w:pPr>
    </w:p>
    <w:p>
      <w:pPr>
        <w:keepNext w:val="0"/>
        <w:keepLines w:val="0"/>
        <w:pageBreakBefore w:val="0"/>
        <w:widowControl w:val="0"/>
        <w:kinsoku/>
        <w:wordWrap/>
        <w:overflowPunct/>
        <w:topLinePunct w:val="0"/>
        <w:bidi w:val="0"/>
        <w:adjustRightInd/>
        <w:snapToGrid/>
        <w:spacing w:line="560" w:lineRule="exact"/>
        <w:ind w:left="0" w:leftChars="0" w:right="0"/>
        <w:jc w:val="left"/>
        <w:textAlignment w:val="auto"/>
        <w:outlineLvl w:val="9"/>
        <w:rPr>
          <w:rFonts w:hint="default" w:ascii="Times New Roman" w:hAnsi="Times New Roman" w:eastAsia="黑体" w:cs="Times New Roman"/>
          <w:b w:val="0"/>
          <w:bCs w:val="0"/>
          <w:w w:val="100"/>
          <w:sz w:val="32"/>
          <w:szCs w:val="32"/>
          <w:lang w:val="en-US" w:eastAsia="zh-CN"/>
        </w:rPr>
      </w:pPr>
      <w:r>
        <w:rPr>
          <w:rFonts w:hint="default" w:ascii="Times New Roman" w:hAnsi="Times New Roman" w:eastAsia="黑体" w:cs="Times New Roman"/>
          <w:b w:val="0"/>
          <w:bCs w:val="0"/>
          <w:w w:val="100"/>
          <w:sz w:val="32"/>
          <w:szCs w:val="32"/>
          <w:lang w:eastAsia="zh-CN"/>
        </w:rPr>
        <w:t>案例</w:t>
      </w:r>
      <w:r>
        <w:rPr>
          <w:rFonts w:hint="default" w:ascii="Times New Roman" w:hAnsi="Times New Roman" w:eastAsia="黑体" w:cs="Times New Roman"/>
          <w:b w:val="0"/>
          <w:bCs w:val="0"/>
          <w:w w:val="100"/>
          <w:sz w:val="32"/>
          <w:szCs w:val="32"/>
          <w:lang w:val="en-US" w:eastAsia="zh-CN"/>
        </w:rPr>
        <w:t>1</w:t>
      </w:r>
    </w:p>
    <w:p>
      <w:pPr>
        <w:pStyle w:val="19"/>
        <w:keepNext w:val="0"/>
        <w:keepLines w:val="0"/>
        <w:pageBreakBefore w:val="0"/>
        <w:widowControl w:val="0"/>
        <w:kinsoku/>
        <w:wordWrap/>
        <w:overflowPunct/>
        <w:topLinePunct w:val="0"/>
        <w:bidi w:val="0"/>
        <w:adjustRightInd/>
        <w:snapToGrid/>
        <w:spacing w:line="560" w:lineRule="exact"/>
        <w:textAlignment w:val="auto"/>
        <w:rPr>
          <w:rFonts w:hint="default" w:ascii="Times New Roman" w:hAnsi="Times New Roman" w:cs="Times New Roman"/>
          <w:lang w:val="en-US" w:eastAsia="zh-CN"/>
        </w:rPr>
      </w:pPr>
    </w:p>
    <w:p>
      <w:pPr>
        <w:spacing w:line="560" w:lineRule="exact"/>
        <w:jc w:val="center"/>
        <w:rPr>
          <w:rFonts w:hint="default" w:ascii="Times New Roman" w:hAnsi="Times New Roman" w:eastAsia="方正小标宋简体" w:cs="Times New Roman"/>
          <w:bCs/>
          <w:sz w:val="44"/>
          <w:szCs w:val="44"/>
        </w:rPr>
      </w:pPr>
      <w:r>
        <w:rPr>
          <w:rFonts w:hint="default" w:ascii="Times New Roman" w:hAnsi="Times New Roman" w:eastAsia="方正小标宋简体" w:cs="Times New Roman"/>
          <w:bCs/>
          <w:sz w:val="44"/>
          <w:szCs w:val="44"/>
        </w:rPr>
        <w:t>中欧班列集成运营组织新模式</w:t>
      </w:r>
    </w:p>
    <w:p>
      <w:pPr>
        <w:spacing w:line="560" w:lineRule="exact"/>
        <w:ind w:firstLine="654" w:firstLineChars="200"/>
        <w:rPr>
          <w:rFonts w:hint="default" w:ascii="Times New Roman" w:hAnsi="Times New Roman" w:eastAsia="仿宋_GB2312" w:cs="Times New Roman"/>
          <w:bCs/>
          <w:sz w:val="32"/>
          <w:szCs w:val="32"/>
        </w:rPr>
      </w:pPr>
    </w:p>
    <w:p>
      <w:pPr>
        <w:spacing w:line="560" w:lineRule="exact"/>
        <w:ind w:firstLine="654" w:firstLineChars="200"/>
        <w:rPr>
          <w:rFonts w:hint="default" w:ascii="Times New Roman" w:hAnsi="Times New Roman" w:eastAsia="仿宋_GB2312" w:cs="Times New Roman"/>
          <w:bCs/>
          <w:sz w:val="32"/>
          <w:szCs w:val="32"/>
        </w:rPr>
      </w:pPr>
      <w:r>
        <w:rPr>
          <w:rFonts w:hint="default" w:ascii="Times New Roman" w:hAnsi="Times New Roman" w:eastAsia="仿宋_GB2312" w:cs="Times New Roman"/>
          <w:bCs/>
          <w:sz w:val="32"/>
          <w:szCs w:val="32"/>
        </w:rPr>
        <w:t>陕西自贸试验区</w:t>
      </w:r>
      <w:r>
        <w:rPr>
          <w:rFonts w:hint="default" w:ascii="Times New Roman" w:hAnsi="Times New Roman" w:eastAsia="仿宋_GB2312" w:cs="Times New Roman"/>
          <w:bCs/>
          <w:sz w:val="32"/>
          <w:szCs w:val="32"/>
          <w:lang w:eastAsia="zh-CN"/>
        </w:rPr>
        <w:t>西安</w:t>
      </w:r>
      <w:r>
        <w:rPr>
          <w:rFonts w:hint="default" w:ascii="Times New Roman" w:hAnsi="Times New Roman" w:eastAsia="仿宋_GB2312" w:cs="Times New Roman"/>
          <w:bCs/>
          <w:sz w:val="32"/>
          <w:szCs w:val="32"/>
        </w:rPr>
        <w:t>国际港务区</w:t>
      </w:r>
      <w:r>
        <w:rPr>
          <w:rFonts w:hint="default" w:ascii="Times New Roman" w:hAnsi="Times New Roman" w:eastAsia="仿宋_GB2312" w:cs="Times New Roman"/>
          <w:bCs/>
          <w:sz w:val="32"/>
          <w:szCs w:val="32"/>
          <w:lang w:eastAsia="zh-CN"/>
        </w:rPr>
        <w:t>功能区</w:t>
      </w:r>
      <w:r>
        <w:rPr>
          <w:rFonts w:hint="default" w:ascii="Times New Roman" w:hAnsi="Times New Roman" w:eastAsia="仿宋_GB2312" w:cs="Times New Roman"/>
          <w:bCs/>
          <w:sz w:val="32"/>
          <w:szCs w:val="32"/>
        </w:rPr>
        <w:t>以打造中欧班列（西安）集结中心为目标，创新推出了全程统一运单、宽轨直达班列</w:t>
      </w:r>
      <w:r>
        <w:rPr>
          <w:rFonts w:hint="default" w:ascii="Times New Roman" w:hAnsi="Times New Roman" w:eastAsia="仿宋_GB2312" w:cs="Times New Roman"/>
          <w:bCs/>
          <w:sz w:val="32"/>
          <w:szCs w:val="32"/>
          <w:lang w:eastAsia="zh-CN"/>
        </w:rPr>
        <w:t>等一系列</w:t>
      </w:r>
      <w:r>
        <w:rPr>
          <w:rFonts w:hint="default" w:ascii="Times New Roman" w:hAnsi="Times New Roman" w:eastAsia="仿宋_GB2312" w:cs="Times New Roman"/>
          <w:bCs/>
          <w:sz w:val="32"/>
          <w:szCs w:val="32"/>
        </w:rPr>
        <w:t>系统性、集成性创新举措，有效优化了中欧班列运营组织模式，切实提高了长安号运输实效，大幅降低了物流成本，进一步发挥向西开放战略通道作用，为构筑内陆地区效率高、成本低、服务优的国际贸易通道奠定了坚实的基础。</w:t>
      </w:r>
    </w:p>
    <w:p>
      <w:pPr>
        <w:spacing w:line="560" w:lineRule="exact"/>
        <w:ind w:firstLine="654" w:firstLineChars="20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一、主要做法</w:t>
      </w:r>
    </w:p>
    <w:p>
      <w:pPr>
        <w:snapToGrid w:val="0"/>
        <w:spacing w:line="560" w:lineRule="exact"/>
        <w:ind w:firstLine="654" w:firstLineChars="200"/>
        <w:rPr>
          <w:rFonts w:hint="default" w:ascii="Times New Roman" w:hAnsi="Times New Roman" w:eastAsia="仿宋_GB2312" w:cs="Times New Roman"/>
          <w:sz w:val="32"/>
          <w:szCs w:val="32"/>
        </w:rPr>
      </w:pPr>
      <w:r>
        <w:rPr>
          <w:rFonts w:hint="default" w:ascii="Times New Roman" w:hAnsi="Times New Roman" w:eastAsia="楷体_GB2312" w:cs="Times New Roman"/>
          <w:b/>
          <w:bCs w:val="0"/>
          <w:sz w:val="32"/>
          <w:szCs w:val="32"/>
        </w:rPr>
        <w:t>（一）实施全程统一运单。</w:t>
      </w:r>
      <w:r>
        <w:rPr>
          <w:rFonts w:hint="default" w:ascii="Times New Roman" w:hAnsi="Times New Roman" w:eastAsia="仿宋_GB2312" w:cs="Times New Roman"/>
          <w:sz w:val="32"/>
          <w:szCs w:val="32"/>
        </w:rPr>
        <w:t>协调铁路合作组织(OSJD)和国际铁路货物运输政府间组织(OTIF)，对其各自发放的“国际货协运单”(SMGS运单)和“国际货约运单”(CIM运单)实行统一合并，形成多语种并存的“国际货约/国际货协运单”（简称：统一</w:t>
      </w:r>
      <w:r>
        <w:rPr>
          <w:rFonts w:hint="default" w:ascii="Times New Roman" w:hAnsi="Times New Roman" w:eastAsia="仿宋_GB2312" w:cs="Times New Roman"/>
          <w:sz w:val="32"/>
          <w:szCs w:val="32"/>
          <w:lang w:eastAsia="zh-CN"/>
        </w:rPr>
        <w:t>运</w:t>
      </w:r>
      <w:r>
        <w:rPr>
          <w:rFonts w:hint="default" w:ascii="Times New Roman" w:hAnsi="Times New Roman" w:eastAsia="仿宋_GB2312" w:cs="Times New Roman"/>
          <w:sz w:val="32"/>
          <w:szCs w:val="32"/>
        </w:rPr>
        <w:t>单），改变了原先跨组织联运时需在边境站重新办理发运手续、二次制作运输单据的传统模式，真正实现</w:t>
      </w:r>
      <w:r>
        <w:rPr>
          <w:rFonts w:hint="default" w:ascii="Times New Roman" w:hAnsi="Times New Roman" w:eastAsia="仿宋_GB2312" w:cs="Times New Roman"/>
          <w:sz w:val="32"/>
          <w:szCs w:val="32"/>
          <w:lang w:eastAsia="zh-CN"/>
        </w:rPr>
        <w:t>了</w:t>
      </w:r>
      <w:r>
        <w:rPr>
          <w:rFonts w:hint="default" w:ascii="Times New Roman" w:hAnsi="Times New Roman" w:eastAsia="仿宋_GB2312" w:cs="Times New Roman"/>
          <w:sz w:val="32"/>
          <w:szCs w:val="32"/>
        </w:rPr>
        <w:t>“一单到底”。</w:t>
      </w:r>
    </w:p>
    <w:p>
      <w:pPr>
        <w:snapToGrid w:val="0"/>
        <w:spacing w:line="560" w:lineRule="exact"/>
        <w:ind w:firstLine="654" w:firstLineChars="200"/>
        <w:rPr>
          <w:rFonts w:hint="default" w:ascii="Times New Roman" w:hAnsi="Times New Roman" w:eastAsia="仿宋_GB2312" w:cs="Times New Roman"/>
          <w:sz w:val="32"/>
          <w:szCs w:val="32"/>
        </w:rPr>
      </w:pPr>
      <w:r>
        <w:rPr>
          <w:rFonts w:hint="default" w:ascii="Times New Roman" w:hAnsi="Times New Roman" w:eastAsia="楷体_GB2312" w:cs="Times New Roman"/>
          <w:b/>
          <w:bCs w:val="0"/>
          <w:sz w:val="32"/>
          <w:szCs w:val="32"/>
        </w:rPr>
        <w:t>（二）开行宽轨直达班列。</w:t>
      </w:r>
      <w:r>
        <w:rPr>
          <w:rFonts w:hint="default" w:ascii="Times New Roman" w:hAnsi="Times New Roman" w:eastAsia="仿宋_GB2312" w:cs="Times New Roman"/>
          <w:sz w:val="32"/>
          <w:szCs w:val="32"/>
        </w:rPr>
        <w:t>对长安号的</w:t>
      </w:r>
      <w:r>
        <w:rPr>
          <w:rFonts w:hint="default" w:ascii="Times New Roman" w:hAnsi="Times New Roman" w:eastAsia="仿宋_GB2312" w:cs="Times New Roman"/>
          <w:sz w:val="32"/>
          <w:szCs w:val="32"/>
          <w:lang w:eastAsia="zh-CN"/>
        </w:rPr>
        <w:t>线路</w:t>
      </w:r>
      <w:r>
        <w:rPr>
          <w:rFonts w:hint="default" w:ascii="Times New Roman" w:hAnsi="Times New Roman" w:eastAsia="仿宋_GB2312" w:cs="Times New Roman"/>
          <w:sz w:val="32"/>
          <w:szCs w:val="32"/>
        </w:rPr>
        <w:t>进行优化，开行了西安经哈萨克斯坦、俄罗斯、乌克兰至波兰斯瓦夫库夫的运营线路。班列全程仅需在阿拉山口一次换装，在抵达斯瓦夫库夫终点站之前，将一直在1520 mm的宽轨上</w:t>
      </w:r>
      <w:r>
        <w:rPr>
          <w:rFonts w:hint="default" w:ascii="Times New Roman" w:hAnsi="Times New Roman" w:eastAsia="仿宋_GB2312" w:cs="Times New Roman"/>
          <w:sz w:val="32"/>
          <w:szCs w:val="32"/>
          <w:lang w:eastAsia="zh-CN"/>
        </w:rPr>
        <w:t>行驶，</w:t>
      </w:r>
      <w:r>
        <w:rPr>
          <w:rFonts w:hint="default" w:ascii="Times New Roman" w:hAnsi="Times New Roman" w:eastAsia="仿宋_GB2312" w:cs="Times New Roman"/>
          <w:sz w:val="32"/>
          <w:szCs w:val="32"/>
        </w:rPr>
        <w:t>抵达斯瓦夫库夫后，通过铁路直运、海铁联运、公铁联运等</w:t>
      </w:r>
      <w:r>
        <w:rPr>
          <w:rFonts w:hint="default" w:ascii="Times New Roman" w:hAnsi="Times New Roman" w:eastAsia="仿宋_GB2312" w:cs="Times New Roman"/>
          <w:sz w:val="32"/>
          <w:szCs w:val="32"/>
          <w:lang w:eastAsia="zh-CN"/>
        </w:rPr>
        <w:t>海外多式联运</w:t>
      </w:r>
      <w:r>
        <w:rPr>
          <w:rFonts w:hint="default" w:ascii="Times New Roman" w:hAnsi="Times New Roman" w:eastAsia="仿宋_GB2312" w:cs="Times New Roman"/>
          <w:sz w:val="32"/>
          <w:szCs w:val="32"/>
        </w:rPr>
        <w:t>方式将货物直达欧洲腹地。</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b/>
          <w:bCs w:val="0"/>
          <w:sz w:val="32"/>
          <w:szCs w:val="32"/>
        </w:rPr>
        <w:t>（三）</w:t>
      </w:r>
      <w:r>
        <w:rPr>
          <w:rFonts w:hint="default" w:ascii="Times New Roman" w:hAnsi="Times New Roman" w:eastAsia="楷体_GB2312" w:cs="Times New Roman"/>
          <w:b/>
          <w:bCs w:val="0"/>
          <w:sz w:val="32"/>
          <w:szCs w:val="32"/>
          <w:lang w:eastAsia="zh-CN"/>
        </w:rPr>
        <w:t>开辟</w:t>
      </w:r>
      <w:r>
        <w:rPr>
          <w:rFonts w:hint="default" w:ascii="Times New Roman" w:hAnsi="Times New Roman" w:eastAsia="楷体_GB2312" w:cs="Times New Roman"/>
          <w:b/>
          <w:bCs w:val="0"/>
          <w:sz w:val="32"/>
          <w:szCs w:val="32"/>
          <w:lang w:val="en-US" w:eastAsia="zh-CN"/>
        </w:rPr>
        <w:t>跨里海运输走廊</w:t>
      </w:r>
      <w:r>
        <w:rPr>
          <w:rFonts w:hint="default" w:ascii="Times New Roman" w:hAnsi="Times New Roman" w:eastAsia="楷体_GB2312" w:cs="Times New Roman"/>
          <w:b/>
          <w:bCs w:val="0"/>
          <w:sz w:val="32"/>
          <w:szCs w:val="32"/>
        </w:rPr>
        <w:t>。</w:t>
      </w:r>
      <w:r>
        <w:rPr>
          <w:rFonts w:hint="default" w:ascii="Times New Roman" w:hAnsi="Times New Roman" w:eastAsia="仿宋_GB2312" w:cs="Times New Roman"/>
          <w:sz w:val="32"/>
          <w:szCs w:val="32"/>
          <w:lang w:val="en-US" w:eastAsia="zh-CN"/>
        </w:rPr>
        <w:t>长安号开行的西安—安卡拉—布拉格线路横穿博斯布鲁斯海峡，是传统线路经由白俄罗斯入境欧盟之外的另一条运输通道，该线路跨越里海和博斯布鲁斯海峡，将铁路运输与海运相结合，真正意义上实现国际多式联运。</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cs="Times New Roman"/>
        </w:rPr>
      </w:pPr>
      <w:r>
        <w:rPr>
          <w:rFonts w:hint="default" w:ascii="Times New Roman" w:hAnsi="Times New Roman" w:eastAsia="楷体_GB2312" w:cs="Times New Roman"/>
          <w:b/>
          <w:bCs w:val="0"/>
          <w:sz w:val="32"/>
          <w:szCs w:val="32"/>
        </w:rPr>
        <w:t>（</w:t>
      </w:r>
      <w:r>
        <w:rPr>
          <w:rFonts w:hint="default" w:ascii="Times New Roman" w:hAnsi="Times New Roman" w:eastAsia="楷体_GB2312" w:cs="Times New Roman"/>
          <w:b/>
          <w:bCs w:val="0"/>
          <w:sz w:val="32"/>
          <w:szCs w:val="32"/>
          <w:lang w:eastAsia="zh-CN"/>
        </w:rPr>
        <w:t>四</w:t>
      </w:r>
      <w:r>
        <w:rPr>
          <w:rFonts w:hint="default" w:ascii="Times New Roman" w:hAnsi="Times New Roman" w:eastAsia="楷体_GB2312" w:cs="Times New Roman"/>
          <w:b/>
          <w:bCs w:val="0"/>
          <w:sz w:val="32"/>
          <w:szCs w:val="32"/>
        </w:rPr>
        <w:t>）</w:t>
      </w:r>
      <w:r>
        <w:rPr>
          <w:rFonts w:hint="default" w:ascii="Times New Roman" w:hAnsi="Times New Roman" w:eastAsia="楷体_GB2312" w:cs="Times New Roman"/>
          <w:b/>
          <w:bCs w:val="0"/>
          <w:sz w:val="32"/>
          <w:szCs w:val="32"/>
          <w:lang w:eastAsia="zh-CN"/>
        </w:rPr>
        <w:t>建设信息化服务平台</w:t>
      </w:r>
      <w:r>
        <w:rPr>
          <w:rFonts w:hint="default" w:ascii="Times New Roman" w:hAnsi="Times New Roman" w:eastAsia="楷体_GB2312" w:cs="Times New Roman"/>
          <w:b/>
          <w:bCs w:val="0"/>
          <w:sz w:val="32"/>
          <w:szCs w:val="32"/>
        </w:rPr>
        <w:t>。</w:t>
      </w:r>
      <w:r>
        <w:rPr>
          <w:rFonts w:hint="default" w:ascii="Times New Roman" w:hAnsi="Times New Roman" w:eastAsia="仿宋_GB2312" w:cs="Times New Roman"/>
          <w:sz w:val="32"/>
          <w:szCs w:val="32"/>
        </w:rPr>
        <w:t>平台</w:t>
      </w:r>
      <w:r>
        <w:rPr>
          <w:rFonts w:hint="default" w:ascii="Times New Roman" w:hAnsi="Times New Roman" w:eastAsia="仿宋_GB2312" w:cs="Times New Roman"/>
          <w:sz w:val="32"/>
          <w:szCs w:val="32"/>
          <w:lang w:eastAsia="zh-CN"/>
        </w:rPr>
        <w:t>提供中文、英文、俄文及德文等多种语言，与哈铁、德铁及俄铁物流等企业信息系统对接，并接入</w:t>
      </w:r>
      <w:r>
        <w:rPr>
          <w:rFonts w:hint="default" w:ascii="Times New Roman" w:hAnsi="Times New Roman" w:eastAsia="仿宋_GB2312" w:cs="Times New Roman"/>
          <w:sz w:val="32"/>
          <w:szCs w:val="32"/>
        </w:rPr>
        <w:t>北斗卫星定位系统</w:t>
      </w:r>
      <w:r>
        <w:rPr>
          <w:rFonts w:hint="default" w:ascii="Times New Roman" w:hAnsi="Times New Roman" w:eastAsia="仿宋_GB2312" w:cs="Times New Roman"/>
          <w:sz w:val="32"/>
          <w:szCs w:val="32"/>
          <w:lang w:eastAsia="zh-CN"/>
        </w:rPr>
        <w:t>，包括</w:t>
      </w:r>
      <w:r>
        <w:rPr>
          <w:rFonts w:hint="default" w:ascii="Times New Roman" w:hAnsi="Times New Roman" w:eastAsia="仿宋_GB2312" w:cs="Times New Roman"/>
          <w:sz w:val="32"/>
          <w:szCs w:val="32"/>
        </w:rPr>
        <w:t>班列组织与运营、货源集结与运输、订舱与关务审单、支付结算等</w:t>
      </w:r>
      <w:r>
        <w:rPr>
          <w:rFonts w:hint="default" w:ascii="Times New Roman" w:hAnsi="Times New Roman" w:eastAsia="仿宋_GB2312" w:cs="Times New Roman"/>
          <w:sz w:val="32"/>
          <w:szCs w:val="32"/>
          <w:lang w:eastAsia="zh-CN"/>
        </w:rPr>
        <w:t>四大业务板块。客户只需要登录电脑就可获取运价咨询、订舱、物流信息查询、交易结算、供应链金融等服务，实现从订舱到发运、到站的全流程管理。</w:t>
      </w:r>
    </w:p>
    <w:p>
      <w:pPr>
        <w:spacing w:line="560" w:lineRule="exact"/>
        <w:ind w:firstLine="654" w:firstLineChars="20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二、</w:t>
      </w:r>
      <w:r>
        <w:rPr>
          <w:rFonts w:hint="default" w:ascii="Times New Roman" w:hAnsi="Times New Roman" w:eastAsia="黑体" w:cs="Times New Roman"/>
          <w:sz w:val="32"/>
          <w:szCs w:val="32"/>
          <w:lang w:eastAsia="zh-CN"/>
        </w:rPr>
        <w:t>实践效果</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随着长安号运营组织</w:t>
      </w:r>
      <w:r>
        <w:rPr>
          <w:rFonts w:hint="default" w:ascii="Times New Roman" w:hAnsi="Times New Roman" w:eastAsia="仿宋_GB2312" w:cs="Times New Roman"/>
          <w:sz w:val="32"/>
          <w:szCs w:val="32"/>
          <w:lang w:eastAsia="zh-CN"/>
        </w:rPr>
        <w:t>系统性创新举措</w:t>
      </w:r>
      <w:r>
        <w:rPr>
          <w:rFonts w:hint="default" w:ascii="Times New Roman" w:hAnsi="Times New Roman" w:eastAsia="仿宋_GB2312" w:cs="Times New Roman"/>
          <w:sz w:val="32"/>
          <w:szCs w:val="32"/>
        </w:rPr>
        <w:t>的陆续推出，长安号在2020年实现了飞跃</w:t>
      </w:r>
      <w:r>
        <w:rPr>
          <w:rFonts w:hint="default" w:ascii="Times New Roman" w:hAnsi="Times New Roman" w:eastAsia="仿宋_GB2312" w:cs="Times New Roman"/>
          <w:sz w:val="32"/>
          <w:szCs w:val="32"/>
          <w:lang w:eastAsia="zh-CN"/>
        </w:rPr>
        <w:t>式</w:t>
      </w:r>
      <w:r>
        <w:rPr>
          <w:rFonts w:hint="default" w:ascii="Times New Roman" w:hAnsi="Times New Roman" w:eastAsia="仿宋_GB2312" w:cs="Times New Roman"/>
          <w:sz w:val="32"/>
          <w:szCs w:val="32"/>
        </w:rPr>
        <w:t>增长，稳定开行干线达15条，覆盖欧洲、中亚、西亚等主要城市和地区。截至今年</w:t>
      </w:r>
      <w:r>
        <w:rPr>
          <w:rFonts w:hint="default"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rPr>
        <w:t>月底，中欧班列长安号共开行</w:t>
      </w:r>
      <w:r>
        <w:rPr>
          <w:rFonts w:hint="default" w:ascii="Times New Roman" w:hAnsi="Times New Roman" w:eastAsia="仿宋_GB2312" w:cs="Times New Roman"/>
          <w:sz w:val="32"/>
          <w:szCs w:val="32"/>
          <w:lang w:val="en-US" w:eastAsia="zh-CN"/>
        </w:rPr>
        <w:t>3167</w:t>
      </w:r>
      <w:r>
        <w:rPr>
          <w:rFonts w:hint="default" w:ascii="Times New Roman" w:hAnsi="Times New Roman" w:eastAsia="仿宋_GB2312" w:cs="Times New Roman"/>
          <w:sz w:val="32"/>
          <w:szCs w:val="32"/>
        </w:rPr>
        <w:t>列，是去年同期的1.</w:t>
      </w:r>
      <w:r>
        <w:rPr>
          <w:rFonts w:hint="default" w:ascii="Times New Roman" w:hAnsi="Times New Roman" w:eastAsia="仿宋_GB2312" w:cs="Times New Roman"/>
          <w:sz w:val="32"/>
          <w:szCs w:val="32"/>
          <w:lang w:val="en-US" w:eastAsia="zh-CN"/>
        </w:rPr>
        <w:t>8</w:t>
      </w:r>
      <w:r>
        <w:rPr>
          <w:rFonts w:hint="default" w:ascii="Times New Roman" w:hAnsi="Times New Roman" w:eastAsia="仿宋_GB2312" w:cs="Times New Roman"/>
          <w:sz w:val="32"/>
          <w:szCs w:val="32"/>
        </w:rPr>
        <w:t>倍，运送货物总重</w:t>
      </w:r>
      <w:r>
        <w:rPr>
          <w:rFonts w:hint="default" w:ascii="Times New Roman" w:hAnsi="Times New Roman" w:eastAsia="仿宋_GB2312" w:cs="Times New Roman"/>
          <w:sz w:val="32"/>
          <w:szCs w:val="32"/>
          <w:lang w:val="en-US" w:eastAsia="zh-CN"/>
        </w:rPr>
        <w:t>242.4</w:t>
      </w:r>
      <w:r>
        <w:rPr>
          <w:rFonts w:hint="default" w:ascii="Times New Roman" w:hAnsi="Times New Roman" w:eastAsia="仿宋_GB2312" w:cs="Times New Roman"/>
          <w:sz w:val="32"/>
          <w:szCs w:val="32"/>
        </w:rPr>
        <w:t>万吨，是去年同期的1.</w:t>
      </w:r>
      <w:r>
        <w:rPr>
          <w:rFonts w:hint="default"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rPr>
        <w:t>倍。</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楷体_GB2312" w:cs="Times New Roman"/>
          <w:b w:val="0"/>
          <w:bCs/>
          <w:sz w:val="32"/>
          <w:szCs w:val="32"/>
        </w:rPr>
        <w:t>（一）提升了班列运行时效。</w:t>
      </w:r>
      <w:r>
        <w:rPr>
          <w:rFonts w:hint="default" w:ascii="Times New Roman" w:hAnsi="Times New Roman" w:eastAsia="仿宋_GB2312" w:cs="Times New Roman"/>
          <w:sz w:val="32"/>
          <w:szCs w:val="32"/>
          <w:lang w:eastAsia="zh-CN"/>
        </w:rPr>
        <w:t>长安号</w:t>
      </w:r>
      <w:r>
        <w:rPr>
          <w:rFonts w:hint="default" w:ascii="Times New Roman" w:hAnsi="Times New Roman" w:eastAsia="仿宋_GB2312" w:cs="Times New Roman"/>
          <w:sz w:val="32"/>
          <w:szCs w:val="32"/>
        </w:rPr>
        <w:t>信息化综合服务平台</w:t>
      </w:r>
      <w:r>
        <w:rPr>
          <w:rFonts w:hint="default" w:ascii="Times New Roman" w:hAnsi="Times New Roman" w:eastAsia="仿宋_GB2312" w:cs="Times New Roman"/>
          <w:sz w:val="32"/>
          <w:szCs w:val="32"/>
          <w:lang w:eastAsia="zh-CN"/>
        </w:rPr>
        <w:t>投入使用后，</w:t>
      </w:r>
      <w:r>
        <w:rPr>
          <w:rFonts w:hint="default" w:ascii="Times New Roman" w:hAnsi="Times New Roman" w:eastAsia="仿宋_GB2312" w:cs="Times New Roman"/>
          <w:sz w:val="32"/>
          <w:szCs w:val="32"/>
        </w:rPr>
        <w:t>班列订舱时间由原来的七天缩短至一天，订舱办理时限压缩90%以上</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“全程统一运单”实现跨境铁路联运“一单到底”，铁</w:t>
      </w:r>
      <w:r>
        <w:rPr>
          <w:rFonts w:hint="default" w:ascii="Times New Roman" w:hAnsi="Times New Roman" w:eastAsia="仿宋_GB2312" w:cs="Times New Roman"/>
          <w:color w:val="auto"/>
          <w:sz w:val="32"/>
          <w:szCs w:val="32"/>
        </w:rPr>
        <w:t>路运行时效提升</w:t>
      </w:r>
      <w:r>
        <w:rPr>
          <w:rFonts w:hint="default" w:ascii="Times New Roman" w:hAnsi="Times New Roman" w:eastAsia="仿宋_GB2312" w:cs="Times New Roman"/>
          <w:color w:val="auto"/>
          <w:sz w:val="32"/>
          <w:szCs w:val="32"/>
          <w:lang w:eastAsia="zh-CN"/>
        </w:rPr>
        <w:t>了</w:t>
      </w:r>
      <w:r>
        <w:rPr>
          <w:rFonts w:hint="default" w:ascii="Times New Roman" w:hAnsi="Times New Roman" w:eastAsia="仿宋_GB2312" w:cs="Times New Roman"/>
          <w:color w:val="auto"/>
          <w:sz w:val="32"/>
          <w:szCs w:val="32"/>
        </w:rPr>
        <w:t>1天；宽轨直达线路较传统马拉舍维奇入境欧洲线路减少一次换装，节约时间1-2天。</w:t>
      </w:r>
      <w:r>
        <w:rPr>
          <w:rFonts w:hint="default" w:ascii="Times New Roman" w:hAnsi="Times New Roman" w:eastAsia="仿宋_GB2312" w:cs="Times New Roman"/>
          <w:color w:val="auto"/>
          <w:sz w:val="32"/>
          <w:szCs w:val="32"/>
          <w:lang w:eastAsia="zh-CN"/>
        </w:rPr>
        <w:t>总体来看，长安号</w:t>
      </w:r>
      <w:r>
        <w:rPr>
          <w:rFonts w:hint="default" w:ascii="Times New Roman" w:hAnsi="Times New Roman" w:eastAsia="仿宋_GB2312" w:cs="Times New Roman"/>
          <w:color w:val="auto"/>
          <w:sz w:val="32"/>
          <w:szCs w:val="32"/>
        </w:rPr>
        <w:t>运输时效较以往提升了30%以上</w:t>
      </w:r>
      <w:r>
        <w:rPr>
          <w:rFonts w:hint="default" w:ascii="Times New Roman" w:hAnsi="Times New Roman" w:eastAsia="仿宋_GB2312" w:cs="Times New Roman"/>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sz w:val="32"/>
          <w:szCs w:val="32"/>
        </w:rPr>
      </w:pPr>
      <w:r>
        <w:rPr>
          <w:rFonts w:hint="default" w:ascii="Times New Roman" w:hAnsi="Times New Roman" w:eastAsia="楷体_GB2312" w:cs="Times New Roman"/>
          <w:b w:val="0"/>
          <w:bCs/>
          <w:sz w:val="32"/>
          <w:szCs w:val="32"/>
        </w:rPr>
        <w:t>（二）扩大了班列运输品类。</w:t>
      </w:r>
      <w:r>
        <w:rPr>
          <w:rFonts w:hint="default" w:ascii="Times New Roman" w:hAnsi="Times New Roman" w:eastAsia="仿宋_GB2312" w:cs="Times New Roman"/>
          <w:sz w:val="32"/>
          <w:szCs w:val="32"/>
        </w:rPr>
        <w:t>通过开通跨里海运输走廊通道线路，不再经过俄罗斯境内，使得班列发运货物不再受俄罗斯禁运货物名单影响，有效扩大了班列运输的货物品类，提升了班列运输的广度与深度。运输货品由最初单一的石油钻井设备增加到汽车、生活用品、厨具、日化等13大类5000余种货物。</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eastAsia="楷体_GB2312" w:cs="Times New Roman"/>
          <w:b w:val="0"/>
          <w:bCs/>
          <w:sz w:val="32"/>
          <w:szCs w:val="32"/>
          <w:lang w:eastAsia="zh-CN"/>
        </w:rPr>
        <w:t>（三）增强了班列服务能力。</w:t>
      </w:r>
      <w:r>
        <w:rPr>
          <w:rFonts w:hint="default" w:ascii="Times New Roman" w:hAnsi="Times New Roman" w:eastAsia="仿宋_GB2312" w:cs="Times New Roman"/>
          <w:sz w:val="32"/>
          <w:szCs w:val="32"/>
        </w:rPr>
        <w:t>与北斗卫星定位系统有效衔接，解决了以往货物运输的监控盲区，实现了对货物运输途中的全程监控，</w:t>
      </w:r>
      <w:r>
        <w:rPr>
          <w:rFonts w:hint="default" w:ascii="Times New Roman" w:hAnsi="Times New Roman" w:eastAsia="仿宋_GB2312" w:cs="Times New Roman"/>
          <w:sz w:val="32"/>
          <w:szCs w:val="32"/>
          <w:lang w:eastAsia="zh-CN"/>
        </w:rPr>
        <w:t>有效避免了运输货物的丢失及盗窃；</w:t>
      </w:r>
      <w:r>
        <w:rPr>
          <w:rFonts w:hint="default" w:ascii="Times New Roman" w:hAnsi="Times New Roman" w:eastAsia="仿宋_GB2312" w:cs="Times New Roman"/>
          <w:sz w:val="32"/>
          <w:szCs w:val="32"/>
        </w:rPr>
        <w:t>“央行·长安号票运通”、保理金单等供应链金融工具为平台上的小微企业提供</w:t>
      </w:r>
      <w:r>
        <w:rPr>
          <w:rFonts w:hint="default" w:ascii="Times New Roman" w:hAnsi="Times New Roman" w:eastAsia="仿宋_GB2312" w:cs="Times New Roman"/>
          <w:sz w:val="32"/>
          <w:szCs w:val="32"/>
          <w:lang w:eastAsia="zh-CN"/>
        </w:rPr>
        <w:t>便利</w:t>
      </w:r>
      <w:r>
        <w:rPr>
          <w:rFonts w:hint="default" w:ascii="Times New Roman" w:hAnsi="Times New Roman" w:eastAsia="仿宋_GB2312" w:cs="Times New Roman"/>
          <w:sz w:val="32"/>
          <w:szCs w:val="32"/>
        </w:rPr>
        <w:t>资金支持，融资利率仅为传统贷款的一半，有效纾解了小微企业融资</w:t>
      </w:r>
      <w:r>
        <w:rPr>
          <w:rFonts w:hint="default" w:ascii="Times New Roman" w:hAnsi="Times New Roman" w:eastAsia="仿宋_GB2312" w:cs="Times New Roman"/>
          <w:sz w:val="32"/>
          <w:szCs w:val="32"/>
          <w:lang w:eastAsia="zh-CN"/>
        </w:rPr>
        <w:t>困难。</w:t>
      </w:r>
    </w:p>
    <w:p>
      <w:pPr>
        <w:spacing w:line="560" w:lineRule="exact"/>
        <w:ind w:firstLine="654" w:firstLineChars="20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三、下一步工作</w:t>
      </w:r>
      <w:r>
        <w:rPr>
          <w:rFonts w:hint="default" w:ascii="Times New Roman" w:hAnsi="Times New Roman" w:eastAsia="黑体" w:cs="Times New Roman"/>
          <w:sz w:val="32"/>
          <w:szCs w:val="32"/>
          <w:lang w:eastAsia="zh-CN"/>
        </w:rPr>
        <w:t>思路</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下一步，陕西自贸试验区西安国际港务区</w:t>
      </w:r>
      <w:r>
        <w:rPr>
          <w:rFonts w:hint="default" w:ascii="Times New Roman" w:hAnsi="Times New Roman" w:eastAsia="仿宋_GB2312" w:cs="Times New Roman"/>
          <w:sz w:val="32"/>
          <w:szCs w:val="32"/>
          <w:lang w:eastAsia="zh-CN"/>
        </w:rPr>
        <w:t>功能区</w:t>
      </w:r>
      <w:r>
        <w:rPr>
          <w:rFonts w:hint="default" w:ascii="Times New Roman" w:hAnsi="Times New Roman" w:eastAsia="仿宋_GB2312" w:cs="Times New Roman"/>
          <w:sz w:val="32"/>
          <w:szCs w:val="32"/>
        </w:rPr>
        <w:t>将进一步简化班列运输和通关手续，创新货物查验、换装等作业模式，切实提高中欧班列长安号的开行质量与效能</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创新</w:t>
      </w:r>
      <w:r>
        <w:rPr>
          <w:rFonts w:hint="default" w:ascii="Times New Roman" w:hAnsi="Times New Roman" w:eastAsia="仿宋_GB2312" w:cs="Times New Roman"/>
          <w:sz w:val="32"/>
          <w:szCs w:val="32"/>
          <w:lang w:eastAsia="zh-CN"/>
        </w:rPr>
        <w:t>开展多式联运</w:t>
      </w:r>
      <w:r>
        <w:rPr>
          <w:rFonts w:hint="default" w:ascii="Times New Roman" w:hAnsi="Times New Roman" w:eastAsia="仿宋_GB2312" w:cs="Times New Roman"/>
          <w:sz w:val="32"/>
          <w:szCs w:val="32"/>
        </w:rPr>
        <w:t>，探索更高效的国内外货源归集与分拨模式，实现枢纽集结与分拨，更好地服务于</w:t>
      </w:r>
      <w:r>
        <w:rPr>
          <w:rFonts w:hint="default" w:ascii="Times New Roman" w:hAnsi="Times New Roman" w:eastAsia="仿宋_GB2312" w:cs="Times New Roman"/>
          <w:sz w:val="32"/>
          <w:szCs w:val="32"/>
          <w:lang w:eastAsia="zh-CN"/>
        </w:rPr>
        <w:t>国家西向通道</w:t>
      </w:r>
      <w:r>
        <w:rPr>
          <w:rFonts w:hint="default" w:ascii="Times New Roman" w:hAnsi="Times New Roman" w:eastAsia="仿宋_GB2312" w:cs="Times New Roman"/>
          <w:sz w:val="32"/>
          <w:szCs w:val="32"/>
        </w:rPr>
        <w:t>建设。</w:t>
      </w:r>
    </w:p>
    <w:p>
      <w:pPr>
        <w:keepNext w:val="0"/>
        <w:keepLines w:val="0"/>
        <w:pageBreakBefore w:val="0"/>
        <w:widowControl w:val="0"/>
        <w:kinsoku/>
        <w:wordWrap/>
        <w:overflowPunct/>
        <w:topLinePunct w:val="0"/>
        <w:autoSpaceDE/>
        <w:autoSpaceDN/>
        <w:bidi w:val="0"/>
        <w:adjustRightInd/>
        <w:snapToGrid/>
        <w:spacing w:line="560" w:lineRule="exact"/>
        <w:ind w:left="0" w:leftChars="0" w:right="0"/>
        <w:jc w:val="left"/>
        <w:textAlignment w:val="auto"/>
        <w:outlineLvl w:val="9"/>
        <w:rPr>
          <w:rFonts w:hint="default" w:ascii="Times New Roman" w:hAnsi="Times New Roman" w:eastAsia="黑体" w:cs="Times New Roman"/>
          <w:b w:val="0"/>
          <w:bCs w:val="0"/>
          <w:w w:val="100"/>
          <w:sz w:val="32"/>
          <w:szCs w:val="32"/>
          <w:lang w:val="en-US" w:eastAsia="zh-CN"/>
        </w:rPr>
      </w:pPr>
      <w:r>
        <w:rPr>
          <w:rFonts w:hint="default" w:ascii="Times New Roman" w:hAnsi="Times New Roman" w:eastAsia="黑体" w:cs="Times New Roman"/>
          <w:b w:val="0"/>
          <w:bCs w:val="0"/>
          <w:w w:val="100"/>
          <w:sz w:val="32"/>
          <w:szCs w:val="32"/>
          <w:lang w:val="en-US" w:eastAsia="zh-CN"/>
        </w:rPr>
        <w:t>案例2</w:t>
      </w:r>
    </w:p>
    <w:p>
      <w:pPr>
        <w:pStyle w:val="19"/>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jc w:val="center"/>
        <w:textAlignment w:val="auto"/>
        <w:outlineLvl w:val="9"/>
        <w:rPr>
          <w:rFonts w:hint="default" w:ascii="Times New Roman" w:hAnsi="Times New Roman" w:eastAsia="方正小标宋简体" w:cs="Times New Roman"/>
          <w:b w:val="0"/>
          <w:bCs w:val="0"/>
          <w:w w:val="100"/>
          <w:sz w:val="44"/>
          <w:szCs w:val="44"/>
          <w:lang w:val="en-US" w:eastAsia="zh-CN"/>
        </w:rPr>
      </w:pPr>
      <w:r>
        <w:rPr>
          <w:rFonts w:hint="default" w:ascii="Times New Roman" w:hAnsi="Times New Roman" w:eastAsia="方正小标宋简体" w:cs="Times New Roman"/>
          <w:b w:val="0"/>
          <w:bCs w:val="0"/>
          <w:w w:val="100"/>
          <w:sz w:val="44"/>
          <w:szCs w:val="44"/>
          <w:lang w:val="en-US" w:eastAsia="zh-CN"/>
        </w:rPr>
        <w:t>技术转移概念验证中心</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firstLine="654" w:firstLineChars="200"/>
        <w:jc w:val="both"/>
        <w:textAlignment w:val="auto"/>
        <w:outlineLvl w:val="9"/>
        <w:rPr>
          <w:rFonts w:hint="default" w:ascii="Times New Roman" w:hAnsi="Times New Roman" w:eastAsia="楷体_GB2312" w:cs="Times New Roman"/>
          <w:b/>
          <w:bCs/>
          <w:sz w:val="32"/>
          <w:szCs w:val="32"/>
          <w:lang w:val="en-US" w:eastAsia="zh-CN"/>
        </w:rPr>
      </w:pPr>
      <w:r>
        <w:rPr>
          <w:rFonts w:hint="default" w:ascii="Times New Roman" w:hAnsi="Times New Roman" w:eastAsia="楷体_GB2312" w:cs="Times New Roman"/>
          <w:b/>
          <w:bCs/>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654"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为进一步提高科技成果的转移转化率，陕西自贸试验区西安高新区功能区成立了全国首家技术转移概念验证中心(以下简称POCC），通过提供市场有效需求验证、专利技术成熟度验证、运营转化商业模式验证等全方位商业验证，形成了一套可落地的概念验证服务体系，聚集了一批可合作的优质科技资源，有效弥补了科技研发成果与市场化应用成果之间的空白，为科技成果转移转化提供了有力支撑。</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654" w:firstLineChars="200"/>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一、主要做法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654"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POCC主要是通过对概念产品、成形产品提供全面的技术验证、市场定位和商业谋划，搭建技术研发成果与市场化应用成果的桥梁，实现高新技术转移转化的突破。</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firstLine="654" w:firstLineChars="200"/>
        <w:jc w:val="both"/>
        <w:textAlignment w:val="auto"/>
        <w:outlineLvl w:val="9"/>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b/>
          <w:bCs/>
          <w:sz w:val="32"/>
          <w:szCs w:val="32"/>
          <w:lang w:val="en-US" w:eastAsia="zh-CN"/>
        </w:rPr>
        <w:t>（一）整合资源要素，为技术转化提供全面保障。</w:t>
      </w:r>
      <w:r>
        <w:rPr>
          <w:rFonts w:hint="default" w:ascii="Times New Roman" w:hAnsi="Times New Roman" w:eastAsia="仿宋_GB2312" w:cs="Times New Roman"/>
          <w:sz w:val="32"/>
          <w:szCs w:val="32"/>
          <w:lang w:val="en-US" w:eastAsia="zh-CN"/>
        </w:rPr>
        <w:t>设立POCC创新研究院，聚集一批对概念验证服务体系认可的行业专家，编制POCC创新研究院管理办法，规范业务开展程序。与西安交通大学、北京航空航天大学、交通部公路院、中科院空间中心、中科电20所、中船重工705所等高等院校和科研院所达成战略合作，组织成立了“一带一路”可靠性验证试验室创新联盟，聚集了全国各地60余家可靠性验证相关实验室，为技术商业化转移提供保障。</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654"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z w:val="32"/>
          <w:szCs w:val="32"/>
          <w:lang w:val="en-US" w:eastAsia="zh-CN"/>
        </w:rPr>
        <w:t>（二）</w:t>
      </w:r>
      <w:r>
        <w:rPr>
          <w:rFonts w:hint="default" w:ascii="Times New Roman" w:hAnsi="Times New Roman" w:eastAsia="楷体_GB2312" w:cs="Times New Roman"/>
          <w:b/>
          <w:bCs/>
          <w:sz w:val="32"/>
          <w:szCs w:val="32"/>
          <w:lang w:val="en-US" w:eastAsia="zh-CN"/>
        </w:rPr>
        <w:t>创建“三大中心”，为技术转化提供全链条服务。</w:t>
      </w:r>
      <w:r>
        <w:rPr>
          <w:rFonts w:hint="default" w:ascii="Times New Roman" w:hAnsi="Times New Roman" w:eastAsia="仿宋_GB2312" w:cs="Times New Roman"/>
          <w:b/>
          <w:bCs/>
          <w:sz w:val="32"/>
          <w:szCs w:val="32"/>
          <w:lang w:val="en-US" w:eastAsia="zh-CN"/>
        </w:rPr>
        <w:t>一是创建创新验证中心。</w:t>
      </w:r>
      <w:r>
        <w:rPr>
          <w:rFonts w:hint="default" w:ascii="Times New Roman" w:hAnsi="Times New Roman" w:eastAsia="仿宋_GB2312" w:cs="Times New Roman"/>
          <w:b w:val="0"/>
          <w:bCs w:val="0"/>
          <w:sz w:val="32"/>
          <w:szCs w:val="32"/>
          <w:lang w:val="en-US" w:eastAsia="zh-CN"/>
        </w:rPr>
        <w:t>为科技成果提供从种子孵化、天使成长、到产业发展等环节的全方位智力支持、资金支持、技术支持和市场支持，加快推进科技创新成果精准转化为现实生产力。二</w:t>
      </w:r>
      <w:r>
        <w:rPr>
          <w:rFonts w:hint="default" w:ascii="Times New Roman" w:hAnsi="Times New Roman" w:eastAsia="仿宋_GB2312" w:cs="Times New Roman"/>
          <w:b/>
          <w:bCs/>
          <w:sz w:val="32"/>
          <w:szCs w:val="32"/>
          <w:lang w:val="en-US" w:eastAsia="zh-CN"/>
        </w:rPr>
        <w:t>是创建可靠性验证中心。</w:t>
      </w:r>
      <w:r>
        <w:rPr>
          <w:rFonts w:hint="default" w:ascii="Times New Roman" w:hAnsi="Times New Roman" w:eastAsia="仿宋_GB2312" w:cs="Times New Roman"/>
          <w:b w:val="0"/>
          <w:bCs w:val="0"/>
          <w:sz w:val="32"/>
          <w:szCs w:val="32"/>
          <w:lang w:val="en-US" w:eastAsia="zh-CN"/>
        </w:rPr>
        <w:t>进行成熟度、可靠性增长、标准化转化效率和产学研一体化的综合保障体系验证，从而有效保证产品的综合质量水平和成本控制水平。三</w:t>
      </w:r>
      <w:r>
        <w:rPr>
          <w:rFonts w:hint="default" w:ascii="Times New Roman" w:hAnsi="Times New Roman" w:eastAsia="仿宋_GB2312" w:cs="Times New Roman"/>
          <w:b/>
          <w:bCs/>
          <w:sz w:val="32"/>
          <w:szCs w:val="32"/>
          <w:lang w:val="en-US" w:eastAsia="zh-CN"/>
        </w:rPr>
        <w:t>是创建商业验证中心。</w:t>
      </w:r>
      <w:r>
        <w:rPr>
          <w:rFonts w:hint="default" w:ascii="Times New Roman" w:hAnsi="Times New Roman" w:eastAsia="仿宋_GB2312" w:cs="Times New Roman"/>
          <w:b w:val="0"/>
          <w:bCs w:val="0"/>
          <w:sz w:val="32"/>
          <w:szCs w:val="32"/>
          <w:lang w:val="en-US" w:eastAsia="zh-CN"/>
        </w:rPr>
        <w:t>帮助企业对非概念产品进行市场验证，对成型产品进行市场包</w:t>
      </w:r>
      <w:r>
        <w:rPr>
          <w:rFonts w:hint="default" w:ascii="Times New Roman" w:hAnsi="Times New Roman" w:eastAsia="仿宋_GB2312" w:cs="Times New Roman"/>
          <w:sz w:val="32"/>
          <w:szCs w:val="32"/>
          <w:lang w:val="en-US" w:eastAsia="zh-CN"/>
        </w:rPr>
        <w:t>装推广，加快科技创新产品的市场化进程。</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654"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b/>
          <w:bCs/>
          <w:sz w:val="32"/>
          <w:szCs w:val="32"/>
          <w:lang w:val="en-US" w:eastAsia="zh-CN"/>
        </w:rPr>
        <w:t>（三）开展“三项验证”，为技术转化提供商业谋划。</w:t>
      </w:r>
      <w:r>
        <w:rPr>
          <w:rFonts w:hint="default" w:ascii="Times New Roman" w:hAnsi="Times New Roman" w:eastAsia="仿宋_GB2312" w:cs="Times New Roman"/>
          <w:b/>
          <w:bCs/>
          <w:sz w:val="32"/>
          <w:szCs w:val="32"/>
          <w:lang w:val="en-US" w:eastAsia="zh-CN"/>
        </w:rPr>
        <w:t>一是开展</w:t>
      </w:r>
      <w:r>
        <w:rPr>
          <w:rFonts w:hint="default" w:ascii="Times New Roman" w:hAnsi="Times New Roman" w:eastAsia="仿宋_GB2312" w:cs="Times New Roman"/>
          <w:b/>
          <w:bCs/>
          <w:sz w:val="32"/>
          <w:szCs w:val="32"/>
        </w:rPr>
        <w:t>市场有效需求验证</w:t>
      </w:r>
      <w:r>
        <w:rPr>
          <w:rFonts w:hint="default" w:ascii="Times New Roman" w:hAnsi="Times New Roman" w:eastAsia="仿宋_GB2312" w:cs="Times New Roman"/>
          <w:b/>
          <w:bCs/>
          <w:sz w:val="32"/>
          <w:szCs w:val="32"/>
          <w:lang w:eastAsia="zh-CN"/>
        </w:rPr>
        <w:t>。</w:t>
      </w:r>
      <w:r>
        <w:rPr>
          <w:rFonts w:hint="default" w:ascii="Times New Roman" w:hAnsi="Times New Roman" w:eastAsia="仿宋_GB2312" w:cs="Times New Roman"/>
          <w:b w:val="0"/>
          <w:bCs w:val="0"/>
          <w:sz w:val="32"/>
          <w:szCs w:val="32"/>
        </w:rPr>
        <w:t>凭借丰富的专家、科研院所和技术经理人资源，通过专家评审</w:t>
      </w:r>
      <w:r>
        <w:rPr>
          <w:rFonts w:hint="default" w:ascii="Times New Roman" w:hAnsi="Times New Roman" w:eastAsia="仿宋_GB2312" w:cs="Times New Roman"/>
          <w:b w:val="0"/>
          <w:bCs w:val="0"/>
          <w:sz w:val="32"/>
          <w:szCs w:val="32"/>
          <w:lang w:eastAsia="zh-CN"/>
        </w:rPr>
        <w:t>与</w:t>
      </w:r>
      <w:r>
        <w:rPr>
          <w:rFonts w:hint="default" w:ascii="Times New Roman" w:hAnsi="Times New Roman" w:eastAsia="仿宋_GB2312" w:cs="Times New Roman"/>
          <w:b w:val="0"/>
          <w:bCs w:val="0"/>
          <w:sz w:val="32"/>
          <w:szCs w:val="32"/>
        </w:rPr>
        <w:t>市场调研相结合的方式对产品进行消费需求和投资需求评估，判断产品的市场定位</w:t>
      </w:r>
      <w:r>
        <w:rPr>
          <w:rFonts w:hint="default" w:ascii="Times New Roman" w:hAnsi="Times New Roman" w:eastAsia="仿宋_GB2312" w:cs="Times New Roman"/>
          <w:b w:val="0"/>
          <w:bCs w:val="0"/>
          <w:sz w:val="32"/>
          <w:szCs w:val="32"/>
          <w:lang w:eastAsia="zh-CN"/>
        </w:rPr>
        <w:t>，</w:t>
      </w:r>
      <w:r>
        <w:rPr>
          <w:rFonts w:hint="default" w:ascii="Times New Roman" w:hAnsi="Times New Roman" w:eastAsia="仿宋_GB2312" w:cs="Times New Roman"/>
          <w:b w:val="0"/>
          <w:bCs w:val="0"/>
          <w:sz w:val="32"/>
          <w:szCs w:val="32"/>
          <w:lang w:val="en-US" w:eastAsia="zh-CN"/>
        </w:rPr>
        <w:t>从而确定技术产品的商业化价值</w:t>
      </w:r>
      <w:r>
        <w:rPr>
          <w:rFonts w:hint="default" w:ascii="Times New Roman" w:hAnsi="Times New Roman" w:eastAsia="仿宋_GB2312" w:cs="Times New Roman"/>
          <w:b w:val="0"/>
          <w:bCs w:val="0"/>
          <w:sz w:val="32"/>
          <w:szCs w:val="32"/>
        </w:rPr>
        <w:t>。</w:t>
      </w:r>
      <w:r>
        <w:rPr>
          <w:rFonts w:hint="default" w:ascii="Times New Roman" w:hAnsi="Times New Roman" w:eastAsia="仿宋_GB2312" w:cs="Times New Roman"/>
          <w:b w:val="0"/>
          <w:bCs w:val="0"/>
          <w:sz w:val="32"/>
          <w:szCs w:val="32"/>
          <w:lang w:eastAsia="zh-CN"/>
        </w:rPr>
        <w:t>二</w:t>
      </w:r>
      <w:r>
        <w:rPr>
          <w:rFonts w:hint="default" w:ascii="Times New Roman" w:hAnsi="Times New Roman" w:eastAsia="仿宋_GB2312" w:cs="Times New Roman"/>
          <w:b/>
          <w:bCs/>
          <w:sz w:val="32"/>
          <w:szCs w:val="32"/>
          <w:lang w:val="en-US" w:eastAsia="zh-CN"/>
        </w:rPr>
        <w:t>是开展</w:t>
      </w:r>
      <w:r>
        <w:rPr>
          <w:rFonts w:hint="default" w:ascii="Times New Roman" w:hAnsi="Times New Roman" w:eastAsia="仿宋_GB2312" w:cs="Times New Roman"/>
          <w:b/>
          <w:bCs/>
          <w:sz w:val="32"/>
          <w:szCs w:val="32"/>
        </w:rPr>
        <w:t>专利技术成熟度验证</w:t>
      </w:r>
      <w:r>
        <w:rPr>
          <w:rFonts w:hint="default" w:ascii="Times New Roman" w:hAnsi="Times New Roman" w:eastAsia="仿宋_GB2312" w:cs="Times New Roman"/>
          <w:b/>
          <w:bCs/>
          <w:sz w:val="32"/>
          <w:szCs w:val="32"/>
          <w:lang w:eastAsia="zh-CN"/>
        </w:rPr>
        <w:t>。</w:t>
      </w:r>
      <w:r>
        <w:rPr>
          <w:rFonts w:hint="default" w:ascii="Times New Roman" w:hAnsi="Times New Roman" w:eastAsia="仿宋_GB2312" w:cs="Times New Roman"/>
          <w:b w:val="0"/>
          <w:bCs w:val="0"/>
          <w:sz w:val="32"/>
          <w:szCs w:val="32"/>
          <w:lang w:val="en-US" w:eastAsia="zh-CN"/>
        </w:rPr>
        <w:t>通过对科技成果的技术实用性程度、在技术生命周期中所处的位置，以及实施该成果的工艺流程与所需配套资源的完善程度等进行验证，验证结果可用于企业对该成果的取舍，或者用于对该成果作出价值判断，从而为企业从事商业投资作出预测和判断。</w:t>
      </w:r>
      <w:r>
        <w:rPr>
          <w:rFonts w:hint="default" w:ascii="Times New Roman" w:hAnsi="Times New Roman" w:eastAsia="仿宋_GB2312" w:cs="Times New Roman"/>
          <w:b/>
          <w:bCs/>
          <w:sz w:val="32"/>
          <w:szCs w:val="32"/>
          <w:lang w:val="en-US" w:eastAsia="zh-CN"/>
        </w:rPr>
        <w:t>三是开展</w:t>
      </w:r>
      <w:r>
        <w:rPr>
          <w:rFonts w:hint="default" w:ascii="Times New Roman" w:hAnsi="Times New Roman" w:eastAsia="仿宋_GB2312" w:cs="Times New Roman"/>
          <w:b/>
          <w:bCs/>
          <w:sz w:val="32"/>
          <w:szCs w:val="32"/>
          <w:lang w:eastAsia="zh-CN"/>
        </w:rPr>
        <w:t>运营转化商业模式验证。</w:t>
      </w:r>
      <w:r>
        <w:rPr>
          <w:rFonts w:hint="default" w:ascii="Times New Roman" w:hAnsi="Times New Roman" w:eastAsia="仿宋_GB2312" w:cs="Times New Roman"/>
          <w:b w:val="0"/>
          <w:bCs w:val="0"/>
          <w:sz w:val="32"/>
          <w:szCs w:val="32"/>
        </w:rPr>
        <w:t>提供包括目标市场是否真实、市场接受程度、平均获客成本、</w:t>
      </w:r>
      <w:r>
        <w:rPr>
          <w:rFonts w:hint="default" w:ascii="Times New Roman" w:hAnsi="Times New Roman" w:eastAsia="仿宋_GB2312" w:cs="Times New Roman"/>
          <w:sz w:val="32"/>
          <w:szCs w:val="32"/>
        </w:rPr>
        <w:t>付费率</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续费率</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产品总投入产出比和营销组织方式等内容的完整商业模式验证。</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654" w:firstLineChars="200"/>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二、实践效果</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654"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POCC积极整合技术转移概念验证服务链条，探索科技成果转移转化新方案，为客户提供创新产品全周期验证服务，取得了阶段性成果。</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654"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b/>
          <w:bCs/>
          <w:sz w:val="32"/>
          <w:szCs w:val="32"/>
          <w:lang w:val="en-US" w:eastAsia="zh-CN"/>
        </w:rPr>
        <w:t>（一）解决企业科学技术难题。</w:t>
      </w:r>
      <w:r>
        <w:rPr>
          <w:rFonts w:hint="default" w:ascii="Times New Roman" w:hAnsi="Times New Roman" w:eastAsia="仿宋_GB2312" w:cs="Times New Roman"/>
          <w:sz w:val="32"/>
          <w:szCs w:val="32"/>
          <w:lang w:val="en-US" w:eastAsia="zh-CN"/>
        </w:rPr>
        <w:t>随着业务的不断开展与延伸，根据概念验证服务链条的需求，POCC积极拓展服务，先后指导中电科瑞、一达捷通、从吾电子、美丰科技、天茂生物、麒麟科技等60多家机构解决了技术难题，帮助西安汇源仪表阀门有限公司有效解决了国产大飞机电磁阀的电磁兼容问题，克服了技术缺陷，助力国产大飞机起航腾飞。</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firstLine="654"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 w:cs="Times New Roman"/>
          <w:b/>
          <w:bCs/>
          <w:sz w:val="32"/>
          <w:szCs w:val="32"/>
          <w:lang w:val="en-US" w:eastAsia="zh-CN"/>
        </w:rPr>
        <w:t>（二）拓展科技成果转化途径。</w:t>
      </w:r>
      <w:r>
        <w:rPr>
          <w:rFonts w:hint="default" w:ascii="Times New Roman" w:hAnsi="Times New Roman" w:eastAsia="仿宋_GB2312" w:cs="Times New Roman"/>
          <w:sz w:val="32"/>
          <w:szCs w:val="32"/>
          <w:lang w:val="en-US" w:eastAsia="zh-CN"/>
        </w:rPr>
        <w:t>POCC以终端市场需求出发，致力于有效整合产、学、研链条的商业化运营模式，提升科技产品的技术成熟度、创新性和市场认知度，从而为企业拓展了高科技成果商业化转移的途径。以西安蜂鸟智能科技有限公司为例，通过对蜂鸟智能小微企业智能化商业解决方案的系列产品进行商业验证和对该型产品进行市场包装策划及小规模推广服务，为该科技产品验证了一条市场化路径，收到了较好的经济效益。</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firstLine="654"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 w:cs="Times New Roman"/>
          <w:b/>
          <w:bCs/>
          <w:sz w:val="32"/>
          <w:szCs w:val="32"/>
          <w:lang w:val="en-US" w:eastAsia="zh-CN"/>
        </w:rPr>
        <w:t>（三）促进科技企业转型升级。</w:t>
      </w:r>
      <w:r>
        <w:rPr>
          <w:rFonts w:hint="default" w:ascii="Times New Roman" w:hAnsi="Times New Roman" w:eastAsia="仿宋_GB2312" w:cs="Times New Roman"/>
          <w:sz w:val="32"/>
          <w:szCs w:val="32"/>
          <w:lang w:val="en-US" w:eastAsia="zh-CN"/>
        </w:rPr>
        <w:t>POCC为图为科技、蓝岸科技、源森生物、医心演绎、优联网络等中小微科技创新公司匹配概念验证服务资源，解决了企业验证需求，助推了科技创新产品的市场化进程，促进了企业转型升级。西安科唯电热科技有限公司通过POCC创新验证中心对无氧化连铸技术理论进行了验证，为企业提供了一种新型无氧化多功能水平连铸装置的技术路线，加快了科技产品的研发速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firstLine="654" w:firstLineChars="200"/>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三、下一步工作思路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firstLine="654"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下一步，陕西自贸试验区西安高新区功能区将大力支持POCC不断探索概念验证服务路径，联合国内知名高校和科研院所完善概念验证服务体系，强化概念验证项目投资，加速推动科技成果转化落地和创新创业产品市场化进程，促进科技成果扩散、流动、共享、应用，充分发挥好其应有的经济与社会价值。</w:t>
      </w:r>
    </w:p>
    <w:p>
      <w:pPr>
        <w:pStyle w:val="19"/>
        <w:jc w:val="right"/>
        <w:rPr>
          <w:rFonts w:hint="default" w:ascii="Times New Roman" w:hAnsi="Times New Roman" w:cs="Times New Roman"/>
          <w:lang w:val="en-US" w:eastAsia="zh-CN"/>
        </w:rPr>
      </w:pPr>
    </w:p>
    <w:p>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jc w:val="center"/>
        <w:textAlignment w:val="auto"/>
        <w:rPr>
          <w:rStyle w:val="20"/>
          <w:rFonts w:hint="default" w:ascii="Times New Roman" w:hAnsi="Times New Roman" w:eastAsia="宋体" w:cs="Times New Roman"/>
          <w:b/>
          <w:bCs/>
          <w:sz w:val="36"/>
          <w:szCs w:val="36"/>
          <w:lang w:val="en-US" w:eastAsia="zh-CN"/>
        </w:rPr>
      </w:pPr>
    </w:p>
    <w:p>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jc w:val="center"/>
        <w:textAlignment w:val="auto"/>
        <w:rPr>
          <w:rStyle w:val="20"/>
          <w:rFonts w:hint="default" w:ascii="Times New Roman" w:hAnsi="Times New Roman" w:eastAsia="宋体" w:cs="Times New Roman"/>
          <w:b/>
          <w:bCs/>
          <w:sz w:val="36"/>
          <w:szCs w:val="36"/>
          <w:lang w:val="en-US" w:eastAsia="zh-CN"/>
        </w:rPr>
      </w:pPr>
    </w:p>
    <w:p>
      <w:pPr>
        <w:pStyle w:val="18"/>
        <w:rPr>
          <w:rFonts w:hint="default" w:ascii="Times New Roman" w:hAnsi="Times New Roman" w:cs="Times New Roman"/>
          <w:lang w:val="en-US" w:eastAsia="zh-CN"/>
        </w:rPr>
      </w:pPr>
    </w:p>
    <w:p>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jc w:val="center"/>
        <w:textAlignment w:val="auto"/>
        <w:rPr>
          <w:rStyle w:val="20"/>
          <w:rFonts w:hint="default" w:ascii="Times New Roman" w:hAnsi="Times New Roman" w:eastAsia="宋体" w:cs="Times New Roman"/>
          <w:b/>
          <w:bCs/>
          <w:sz w:val="36"/>
          <w:szCs w:val="36"/>
          <w:lang w:val="en-US" w:eastAsia="zh-CN"/>
        </w:rPr>
      </w:pPr>
      <w:bookmarkStart w:id="0" w:name="_Toc17420"/>
      <w:bookmarkStart w:id="1" w:name="_Toc32537"/>
      <w:bookmarkStart w:id="2" w:name="_Toc26990"/>
    </w:p>
    <w:p>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jc w:val="center"/>
        <w:textAlignment w:val="auto"/>
        <w:rPr>
          <w:rStyle w:val="20"/>
          <w:rFonts w:hint="default" w:ascii="Times New Roman" w:hAnsi="Times New Roman" w:eastAsia="宋体" w:cs="Times New Roman"/>
          <w:b/>
          <w:bCs/>
          <w:sz w:val="36"/>
          <w:szCs w:val="36"/>
          <w:lang w:val="en-US" w:eastAsia="zh-CN"/>
        </w:rPr>
      </w:pPr>
    </w:p>
    <w:p>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jc w:val="center"/>
        <w:textAlignment w:val="auto"/>
        <w:rPr>
          <w:rStyle w:val="20"/>
          <w:rFonts w:hint="default" w:ascii="Times New Roman" w:hAnsi="Times New Roman" w:eastAsia="宋体" w:cs="Times New Roman"/>
          <w:b/>
          <w:bCs/>
          <w:sz w:val="36"/>
          <w:szCs w:val="36"/>
          <w:lang w:val="en-US" w:eastAsia="zh-CN"/>
        </w:rPr>
      </w:pPr>
    </w:p>
    <w:p>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jc w:val="left"/>
        <w:textAlignment w:val="auto"/>
        <w:rPr>
          <w:rStyle w:val="20"/>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spacing w:line="560" w:lineRule="exact"/>
        <w:ind w:left="0" w:leftChars="0" w:right="0" w:rightChars="0"/>
        <w:jc w:val="left"/>
        <w:textAlignment w:val="auto"/>
        <w:rPr>
          <w:rStyle w:val="20"/>
          <w:rFonts w:hint="default" w:ascii="Times New Roman" w:hAnsi="Times New Roman" w:eastAsia="黑体" w:cs="Times New Roman"/>
          <w:b w:val="0"/>
          <w:bCs w:val="0"/>
          <w:sz w:val="32"/>
          <w:szCs w:val="32"/>
          <w:lang w:val="en-US" w:eastAsia="zh-CN"/>
        </w:rPr>
      </w:pPr>
    </w:p>
    <w:p>
      <w:pPr>
        <w:rPr>
          <w:rStyle w:val="20"/>
          <w:rFonts w:hint="default" w:ascii="Times New Roman" w:hAnsi="Times New Roman" w:eastAsia="黑体" w:cs="Times New Roman"/>
          <w:b w:val="0"/>
          <w:bCs w:val="0"/>
          <w:sz w:val="32"/>
          <w:szCs w:val="32"/>
          <w:lang w:val="en-US" w:eastAsia="zh-CN"/>
        </w:rPr>
      </w:pPr>
      <w:r>
        <w:rPr>
          <w:rStyle w:val="20"/>
          <w:rFonts w:hint="default" w:ascii="Times New Roman" w:hAnsi="Times New Roman" w:eastAsia="黑体" w:cs="Times New Roman"/>
          <w:b w:val="0"/>
          <w:bCs w:val="0"/>
          <w:sz w:val="32"/>
          <w:szCs w:val="32"/>
          <w:lang w:val="en-US" w:eastAsia="zh-CN"/>
        </w:rPr>
        <w:br w:type="page"/>
      </w:r>
    </w:p>
    <w:p>
      <w:pPr>
        <w:keepNext w:val="0"/>
        <w:keepLines w:val="0"/>
        <w:pageBreakBefore w:val="0"/>
        <w:widowControl w:val="0"/>
        <w:kinsoku/>
        <w:wordWrap/>
        <w:overflowPunct/>
        <w:topLinePunct w:val="0"/>
        <w:autoSpaceDE/>
        <w:autoSpaceDN/>
        <w:bidi w:val="0"/>
        <w:adjustRightInd w:val="0"/>
        <w:snapToGrid/>
        <w:spacing w:line="560" w:lineRule="exact"/>
        <w:ind w:left="0" w:leftChars="0" w:right="0" w:rightChars="0"/>
        <w:jc w:val="left"/>
        <w:textAlignment w:val="auto"/>
        <w:rPr>
          <w:rStyle w:val="20"/>
          <w:rFonts w:hint="default" w:ascii="Times New Roman" w:hAnsi="Times New Roman" w:eastAsia="黑体" w:cs="Times New Roman"/>
          <w:b w:val="0"/>
          <w:bCs w:val="0"/>
          <w:sz w:val="32"/>
          <w:szCs w:val="32"/>
          <w:lang w:val="en-US" w:eastAsia="zh-CN"/>
        </w:rPr>
      </w:pPr>
      <w:r>
        <w:rPr>
          <w:rStyle w:val="20"/>
          <w:rFonts w:hint="default" w:ascii="Times New Roman" w:hAnsi="Times New Roman" w:eastAsia="黑体" w:cs="Times New Roman"/>
          <w:b w:val="0"/>
          <w:bCs w:val="0"/>
          <w:sz w:val="32"/>
          <w:szCs w:val="32"/>
          <w:lang w:val="en-US" w:eastAsia="zh-CN"/>
        </w:rPr>
        <w:t>案例3</w:t>
      </w:r>
    </w:p>
    <w:p>
      <w:pPr>
        <w:pStyle w:val="19"/>
        <w:keepNext w:val="0"/>
        <w:keepLines w:val="0"/>
        <w:pageBreakBefore w:val="0"/>
        <w:widowControl w:val="0"/>
        <w:kinsoku/>
        <w:wordWrap/>
        <w:overflowPunct/>
        <w:topLinePunct w:val="0"/>
        <w:autoSpaceDE/>
        <w:autoSpaceDN/>
        <w:bidi w:val="0"/>
        <w:snapToGrid/>
        <w:spacing w:line="560" w:lineRule="exact"/>
        <w:textAlignment w:val="auto"/>
        <w:rPr>
          <w:rFonts w:hint="default" w:ascii="Times New Roman" w:hAnsi="Times New Roman" w:cs="Times New Roman"/>
          <w:lang w:val="en-US" w:eastAsia="zh-CN"/>
        </w:rPr>
      </w:pPr>
    </w:p>
    <w:p>
      <w:pPr>
        <w:keepNext w:val="0"/>
        <w:keepLines w:val="0"/>
        <w:pageBreakBefore w:val="0"/>
        <w:widowControl w:val="0"/>
        <w:kinsoku/>
        <w:wordWrap/>
        <w:overflowPunct/>
        <w:topLinePunct w:val="0"/>
        <w:autoSpaceDE/>
        <w:autoSpaceDN/>
        <w:bidi w:val="0"/>
        <w:adjustRightInd w:val="0"/>
        <w:snapToGrid/>
        <w:spacing w:line="560" w:lineRule="exact"/>
        <w:ind w:left="0" w:leftChars="0" w:right="0" w:rightChars="0"/>
        <w:jc w:val="center"/>
        <w:textAlignment w:val="auto"/>
        <w:rPr>
          <w:rStyle w:val="20"/>
          <w:rFonts w:hint="default" w:ascii="Times New Roman" w:hAnsi="Times New Roman" w:eastAsia="方正小标宋简体" w:cs="Times New Roman"/>
          <w:b w:val="0"/>
          <w:bCs w:val="0"/>
          <w:sz w:val="44"/>
          <w:szCs w:val="44"/>
          <w:lang w:val="en-US" w:eastAsia="zh-CN"/>
        </w:rPr>
      </w:pPr>
      <w:r>
        <w:rPr>
          <w:rStyle w:val="20"/>
          <w:rFonts w:hint="default" w:ascii="Times New Roman" w:hAnsi="Times New Roman" w:eastAsia="方正小标宋简体" w:cs="Times New Roman"/>
          <w:b w:val="0"/>
          <w:bCs w:val="0"/>
          <w:sz w:val="44"/>
          <w:szCs w:val="44"/>
          <w:lang w:val="en-US" w:eastAsia="zh-CN"/>
        </w:rPr>
        <w:t>以租代建（购）—土地集约供应新模式</w:t>
      </w:r>
    </w:p>
    <w:p>
      <w:pPr>
        <w:keepNext w:val="0"/>
        <w:keepLines w:val="0"/>
        <w:pageBreakBefore w:val="0"/>
        <w:widowControl w:val="0"/>
        <w:kinsoku/>
        <w:wordWrap/>
        <w:overflowPunct/>
        <w:topLinePunct w:val="0"/>
        <w:autoSpaceDE/>
        <w:autoSpaceDN/>
        <w:bidi w:val="0"/>
        <w:snapToGrid/>
        <w:spacing w:line="560" w:lineRule="exact"/>
        <w:jc w:val="center"/>
        <w:textAlignment w:val="auto"/>
        <w:rPr>
          <w:rFonts w:hint="default" w:ascii="Times New Roman" w:hAnsi="Times New Roman" w:eastAsia="楷体_GB2312" w:cs="Times New Roman"/>
          <w:b/>
          <w:bCs/>
          <w:sz w:val="32"/>
        </w:rPr>
      </w:pPr>
    </w:p>
    <w:p>
      <w:pPr>
        <w:spacing w:line="560" w:lineRule="exact"/>
        <w:ind w:firstLine="654" w:firstLineChars="200"/>
        <w:outlineLvl w:val="1"/>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陕西自贸试验区</w:t>
      </w:r>
      <w:r>
        <w:rPr>
          <w:rFonts w:hint="default" w:ascii="Times New Roman" w:hAnsi="Times New Roman" w:eastAsia="仿宋_GB2312" w:cs="Times New Roman"/>
          <w:sz w:val="32"/>
          <w:szCs w:val="32"/>
          <w:lang w:eastAsia="zh-CN"/>
        </w:rPr>
        <w:t>西咸新区</w:t>
      </w:r>
      <w:r>
        <w:rPr>
          <w:rFonts w:hint="default" w:ascii="Times New Roman" w:hAnsi="Times New Roman" w:eastAsia="仿宋_GB2312" w:cs="Times New Roman"/>
          <w:sz w:val="32"/>
          <w:szCs w:val="32"/>
        </w:rPr>
        <w:t>沣东新城功能区为解决区内市场主体获取土地成本较高、时限较长、难度较大的问题，本着“集中布局、集约开发、集聚发展”的原则，创新性探索以租代建、以租代购的弹性土地供应新模式，有效降低了企业入驻综合成本，提高了土地集约利用率和土地投资强度，推动企业集聚和快速发展。</w:t>
      </w:r>
    </w:p>
    <w:p>
      <w:pPr>
        <w:spacing w:line="560" w:lineRule="exact"/>
        <w:ind w:firstLine="654" w:firstLineChars="200"/>
        <w:outlineLvl w:val="1"/>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一、主要做法</w:t>
      </w:r>
    </w:p>
    <w:p>
      <w:pPr>
        <w:spacing w:line="560" w:lineRule="exact"/>
        <w:ind w:firstLine="654" w:firstLineChars="200"/>
        <w:outlineLvl w:val="1"/>
        <w:rPr>
          <w:rFonts w:hint="default" w:ascii="Times New Roman" w:hAnsi="Times New Roman" w:eastAsia="仿宋_GB2312" w:cs="Times New Roman"/>
          <w:sz w:val="32"/>
          <w:szCs w:val="32"/>
        </w:rPr>
      </w:pPr>
      <w:r>
        <w:rPr>
          <w:rFonts w:hint="default" w:ascii="Times New Roman" w:hAnsi="Times New Roman" w:eastAsia="楷体" w:cs="Times New Roman"/>
          <w:b/>
          <w:sz w:val="32"/>
          <w:szCs w:val="32"/>
        </w:rPr>
        <w:t>（一）实施土地集约管理。</w:t>
      </w:r>
      <w:r>
        <w:rPr>
          <w:rFonts w:hint="default" w:ascii="Times New Roman" w:hAnsi="Times New Roman" w:eastAsia="仿宋_GB2312" w:cs="Times New Roman"/>
          <w:sz w:val="32"/>
          <w:szCs w:val="32"/>
        </w:rPr>
        <w:t>在土地投资强度、土地资源盘活与用地总量三重控制的前提下，对辖区土地资源实施土地储备与供应预审制度，明确土地性质与用途、规划定位，设定土地投资强度、规划建设门槛及要求，确保地块产业符合</w:t>
      </w:r>
      <w:r>
        <w:rPr>
          <w:rFonts w:hint="default" w:ascii="Times New Roman" w:hAnsi="Times New Roman" w:eastAsia="仿宋_GB2312" w:cs="Times New Roman"/>
          <w:sz w:val="32"/>
          <w:szCs w:val="32"/>
          <w:lang w:eastAsia="zh-CN"/>
        </w:rPr>
        <w:t>区域</w:t>
      </w:r>
      <w:r>
        <w:rPr>
          <w:rFonts w:hint="default" w:ascii="Times New Roman" w:hAnsi="Times New Roman" w:eastAsia="仿宋_GB2312" w:cs="Times New Roman"/>
          <w:sz w:val="32"/>
          <w:szCs w:val="32"/>
        </w:rPr>
        <w:t>总体规划，实现土地集约。在此基础上，探索公开遴选制度，对有意向参与开发建设的市场主体通过多元化指标评价、专家评审、风险评估等遴选3-5家潜在单位，并通过招拍挂方式确定开发单位。开发单位在取得土地使用权后，对地块实施统一规划、统一设计、统一报建、统一建设、多元化供应、滚动开发，优先建设相关配套设施，切实盘活闲置土地资源。</w:t>
      </w:r>
    </w:p>
    <w:p>
      <w:pPr>
        <w:spacing w:line="560" w:lineRule="exact"/>
        <w:ind w:firstLine="654" w:firstLineChars="200"/>
        <w:outlineLvl w:val="1"/>
        <w:rPr>
          <w:rFonts w:hint="default" w:ascii="Times New Roman" w:hAnsi="Times New Roman" w:eastAsia="仿宋_GB2312" w:cs="Times New Roman"/>
          <w:sz w:val="32"/>
          <w:szCs w:val="32"/>
        </w:rPr>
      </w:pPr>
      <w:r>
        <w:rPr>
          <w:rFonts w:hint="default" w:ascii="Times New Roman" w:hAnsi="Times New Roman" w:eastAsia="楷体_GB2312" w:cs="Times New Roman"/>
          <w:b/>
          <w:sz w:val="32"/>
          <w:szCs w:val="32"/>
        </w:rPr>
        <w:t>（二）聚焦企业用地需求</w:t>
      </w:r>
      <w:r>
        <w:rPr>
          <w:rFonts w:hint="default" w:ascii="Times New Roman" w:hAnsi="Times New Roman" w:eastAsia="楷体_GB2312" w:cs="Times New Roman"/>
          <w:b/>
          <w:sz w:val="32"/>
          <w:szCs w:val="32"/>
          <w:lang w:eastAsia="zh-CN"/>
        </w:rPr>
        <w:t>。</w:t>
      </w:r>
      <w:r>
        <w:rPr>
          <w:rFonts w:hint="default" w:ascii="Times New Roman" w:hAnsi="Times New Roman" w:eastAsia="仿宋_GB2312" w:cs="Times New Roman"/>
          <w:sz w:val="32"/>
          <w:szCs w:val="32"/>
        </w:rPr>
        <w:t>为解决企业用地需求与政府土地开发目标不匹配的问题，政府明确开发单位须以市场化的方式向社会公开待开发土地资源相关信息。有需求的市场主体可通过政务平台获得地块总平面图、初步设计方案、容积率等控制指标及土地面积、租赁年限与类型、产业类别、投资强度等信息，并自主选择用地方式。在此基础上，成立对企服务用地专班小组，跟踪企业用地需求、调整局部规划及设计，最大程度满足企业经营需求。</w:t>
      </w:r>
    </w:p>
    <w:p>
      <w:pPr>
        <w:spacing w:line="560" w:lineRule="exact"/>
        <w:ind w:firstLine="654" w:firstLineChars="200"/>
        <w:outlineLvl w:val="1"/>
        <w:rPr>
          <w:rFonts w:hint="default" w:ascii="Times New Roman" w:hAnsi="Times New Roman" w:eastAsia="仿宋_GB2312" w:cs="Times New Roman"/>
          <w:sz w:val="32"/>
          <w:szCs w:val="32"/>
        </w:rPr>
      </w:pPr>
      <w:r>
        <w:rPr>
          <w:rFonts w:hint="default" w:ascii="Times New Roman" w:hAnsi="Times New Roman" w:eastAsia="楷体_GB2312" w:cs="Times New Roman"/>
          <w:b/>
          <w:sz w:val="32"/>
          <w:szCs w:val="32"/>
        </w:rPr>
        <w:t>（三）实行以租代建（购）</w:t>
      </w:r>
      <w:r>
        <w:rPr>
          <w:rFonts w:hint="default" w:ascii="Times New Roman" w:hAnsi="Times New Roman" w:eastAsia="楷体_GB2312" w:cs="Times New Roman"/>
          <w:b/>
          <w:sz w:val="32"/>
          <w:szCs w:val="32"/>
          <w:lang w:eastAsia="zh-CN"/>
        </w:rPr>
        <w:t>。</w:t>
      </w:r>
      <w:r>
        <w:rPr>
          <w:rFonts w:hint="default" w:ascii="Times New Roman" w:hAnsi="Times New Roman" w:eastAsia="仿宋_GB2312" w:cs="Times New Roman"/>
          <w:sz w:val="32"/>
          <w:szCs w:val="32"/>
        </w:rPr>
        <w:t>开发单位按照企业需求统一对土地进行开发建设，建成后企业入驻签定租赁合同，无需再投入资金自建厂房或经营场所。同时，实施用地及经营场所弹性年期租赁，满足市场主体差异化用地需求。以汽贸类市场主体为例，明确一般企业及初创孵化型的企业租赁期限为5-10年，成长性的企业租赁期限可达20年，租赁期满后根据企业效益等决定是否延续租赁或交由政府收回。</w:t>
      </w:r>
    </w:p>
    <w:p>
      <w:pPr>
        <w:spacing w:line="560" w:lineRule="exact"/>
        <w:ind w:firstLine="654" w:firstLineChars="200"/>
        <w:outlineLvl w:val="1"/>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二、实践效果</w:t>
      </w:r>
    </w:p>
    <w:p>
      <w:pPr>
        <w:spacing w:line="560" w:lineRule="exact"/>
        <w:ind w:firstLine="654" w:firstLineChars="200"/>
        <w:outlineLvl w:val="1"/>
        <w:rPr>
          <w:rFonts w:hint="default" w:ascii="Times New Roman" w:hAnsi="Times New Roman" w:eastAsia="仿宋_GB2312" w:cs="Times New Roman"/>
          <w:sz w:val="32"/>
          <w:szCs w:val="32"/>
        </w:rPr>
      </w:pPr>
      <w:r>
        <w:rPr>
          <w:rFonts w:hint="default" w:ascii="Times New Roman" w:hAnsi="Times New Roman" w:eastAsia="楷体" w:cs="Times New Roman"/>
          <w:b/>
          <w:sz w:val="32"/>
          <w:szCs w:val="32"/>
        </w:rPr>
        <w:t>（一）提高</w:t>
      </w:r>
      <w:r>
        <w:rPr>
          <w:rFonts w:hint="default" w:ascii="Times New Roman" w:hAnsi="Times New Roman" w:eastAsia="楷体" w:cs="Times New Roman"/>
          <w:b/>
          <w:sz w:val="32"/>
          <w:szCs w:val="32"/>
          <w:lang w:eastAsia="zh-CN"/>
        </w:rPr>
        <w:t>了</w:t>
      </w:r>
      <w:r>
        <w:rPr>
          <w:rFonts w:hint="default" w:ascii="Times New Roman" w:hAnsi="Times New Roman" w:eastAsia="楷体" w:cs="Times New Roman"/>
          <w:b/>
          <w:sz w:val="32"/>
          <w:szCs w:val="32"/>
        </w:rPr>
        <w:t>项目落地速度。</w:t>
      </w:r>
      <w:r>
        <w:rPr>
          <w:rFonts w:hint="default" w:ascii="Times New Roman" w:hAnsi="Times New Roman" w:eastAsia="仿宋_GB2312" w:cs="Times New Roman"/>
          <w:sz w:val="32"/>
          <w:szCs w:val="32"/>
        </w:rPr>
        <w:t>土地集约供应模式有效降低了新入驻企业用地成本和固定资产投入，省去了企业拿地、报建和建设环节，提升了项目落地与建设速度，使企业能迅速投入运营。以自贸产业园所在地块为例，新引进的4S店等市场主体均采取了以租代建、租后再购模式开展经营。整体来看，新引进的企业从签约到运营的时限已平均压缩至12个月以内，较传统土地获取模式节省时间约1年以上。</w:t>
      </w:r>
    </w:p>
    <w:p>
      <w:pPr>
        <w:spacing w:line="560" w:lineRule="exact"/>
        <w:ind w:firstLine="654" w:firstLineChars="200"/>
        <w:outlineLvl w:val="1"/>
        <w:rPr>
          <w:rFonts w:hint="default" w:ascii="Times New Roman" w:hAnsi="Times New Roman" w:eastAsia="仿宋_GB2312" w:cs="Times New Roman"/>
          <w:sz w:val="32"/>
          <w:szCs w:val="32"/>
        </w:rPr>
      </w:pPr>
      <w:r>
        <w:rPr>
          <w:rFonts w:hint="default" w:ascii="Times New Roman" w:hAnsi="Times New Roman" w:eastAsia="楷体" w:cs="Times New Roman"/>
          <w:b/>
          <w:sz w:val="32"/>
          <w:szCs w:val="32"/>
        </w:rPr>
        <w:t>（二）提升了土地利用率。</w:t>
      </w:r>
      <w:r>
        <w:rPr>
          <w:rFonts w:hint="default" w:ascii="Times New Roman" w:hAnsi="Times New Roman" w:eastAsia="仿宋_GB2312" w:cs="Times New Roman"/>
          <w:sz w:val="32"/>
          <w:szCs w:val="32"/>
        </w:rPr>
        <w:t>通过转变土地供应模式、前置政府供地服务，改变了原先企业单独拿地、自主建设所导致土地利用率不高和投资强度不够的问题，有效避免因企业资金不足、经营不善等因素造成闲置与低效用地，土地投资强度和集约利用得到大幅提升。</w:t>
      </w:r>
    </w:p>
    <w:p>
      <w:pPr>
        <w:spacing w:line="560" w:lineRule="exact"/>
        <w:ind w:firstLine="654" w:firstLineChars="200"/>
        <w:outlineLvl w:val="1"/>
        <w:rPr>
          <w:rFonts w:hint="default" w:ascii="Times New Roman" w:hAnsi="Times New Roman" w:eastAsia="仿宋_GB2312" w:cs="Times New Roman"/>
          <w:sz w:val="32"/>
          <w:szCs w:val="32"/>
        </w:rPr>
      </w:pPr>
      <w:r>
        <w:rPr>
          <w:rFonts w:hint="default" w:ascii="Times New Roman" w:hAnsi="Times New Roman" w:eastAsia="楷体" w:cs="Times New Roman"/>
          <w:b/>
          <w:sz w:val="32"/>
          <w:szCs w:val="32"/>
        </w:rPr>
        <w:t>（三）促进了市场主体集聚。</w:t>
      </w:r>
      <w:r>
        <w:rPr>
          <w:rFonts w:hint="default" w:ascii="Times New Roman" w:hAnsi="Times New Roman" w:eastAsia="仿宋_GB2312" w:cs="Times New Roman"/>
          <w:sz w:val="32"/>
          <w:szCs w:val="32"/>
        </w:rPr>
        <w:t>该模式为市场主体落户提供了更多的便利性，使得有限资金能够充分用于经营生产。同时，也使得区内地块产业潜力得到充分释放，为符合区域产业发展的企业提供了低成本扩张的新渠道，加快了产业集聚和升级。以汽贸产业为例，通过多元化的土地供应，吸引了捷豹路虎、奥迪、奔驰、车和家等一批汽贸企业以低成本签约落户，加速了区内汽车贸易规模化发展。</w:t>
      </w:r>
    </w:p>
    <w:p>
      <w:pPr>
        <w:spacing w:line="560" w:lineRule="exact"/>
        <w:ind w:firstLine="654" w:firstLineChars="200"/>
        <w:outlineLvl w:val="1"/>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三、下一步工作思路</w:t>
      </w:r>
    </w:p>
    <w:p>
      <w:pPr>
        <w:spacing w:line="560" w:lineRule="exact"/>
        <w:ind w:firstLine="654" w:firstLineChars="200"/>
        <w:outlineLvl w:val="1"/>
        <w:rPr>
          <w:rFonts w:hint="default" w:ascii="Times New Roman" w:hAnsi="Times New Roman" w:eastAsia="仿宋_GB2312" w:cs="Times New Roman"/>
          <w:sz w:val="32"/>
          <w:szCs w:val="32"/>
        </w:rPr>
      </w:pPr>
      <w:r>
        <w:rPr>
          <w:rFonts w:hint="default" w:ascii="Times New Roman" w:hAnsi="Times New Roman" w:eastAsia="仿宋_GB2312" w:cs="Times New Roman"/>
          <w:kern w:val="0"/>
          <w:sz w:val="32"/>
          <w:szCs w:val="32"/>
          <w:lang w:eastAsia="zh-CN"/>
        </w:rPr>
        <w:t>下一步，</w:t>
      </w:r>
      <w:r>
        <w:rPr>
          <w:rFonts w:hint="default" w:ascii="Times New Roman" w:hAnsi="Times New Roman" w:eastAsia="仿宋_GB2312" w:cs="Times New Roman"/>
          <w:bCs/>
          <w:sz w:val="32"/>
          <w:szCs w:val="32"/>
        </w:rPr>
        <w:t>陕西自贸试验区</w:t>
      </w:r>
      <w:r>
        <w:rPr>
          <w:rFonts w:hint="default" w:ascii="Times New Roman" w:hAnsi="Times New Roman" w:eastAsia="仿宋_GB2312" w:cs="Times New Roman"/>
          <w:bCs/>
          <w:sz w:val="32"/>
          <w:szCs w:val="32"/>
          <w:lang w:eastAsia="zh-CN"/>
        </w:rPr>
        <w:t>西咸新区</w:t>
      </w:r>
      <w:r>
        <w:rPr>
          <w:rFonts w:hint="default" w:ascii="Times New Roman" w:hAnsi="Times New Roman" w:eastAsia="仿宋_GB2312" w:cs="Times New Roman"/>
          <w:kern w:val="0"/>
          <w:sz w:val="32"/>
          <w:szCs w:val="32"/>
          <w:lang w:eastAsia="zh-CN"/>
        </w:rPr>
        <w:t>沣东新城功能区</w:t>
      </w:r>
      <w:r>
        <w:rPr>
          <w:rFonts w:hint="default" w:ascii="Times New Roman" w:hAnsi="Times New Roman" w:eastAsia="仿宋_GB2312" w:cs="Times New Roman"/>
          <w:sz w:val="32"/>
          <w:szCs w:val="32"/>
        </w:rPr>
        <w:t>将持续推出更多利于企业集聚入驻的土地供应模式，推动增量用地集约利用，促进产业结构升级。同时，将最大限度地降低创新型企业用地准入门槛，破解企业用地难、用地贵、用地慢等问题，促进区内产业有效集聚和高质量发展。</w:t>
      </w:r>
    </w:p>
    <w:p>
      <w:pPr>
        <w:pStyle w:val="19"/>
        <w:keepNext w:val="0"/>
        <w:keepLines w:val="0"/>
        <w:pageBreakBefore w:val="0"/>
        <w:widowControl w:val="0"/>
        <w:kinsoku/>
        <w:wordWrap/>
        <w:overflowPunct/>
        <w:topLinePunct w:val="0"/>
        <w:autoSpaceDE/>
        <w:autoSpaceDN/>
        <w:bidi w:val="0"/>
        <w:snapToGrid/>
        <w:spacing w:line="560" w:lineRule="exact"/>
        <w:jc w:val="right"/>
        <w:textAlignment w:val="auto"/>
        <w:rPr>
          <w:rFonts w:hint="default" w:ascii="Times New Roman" w:hAnsi="Times New Roman" w:cs="Times New Roman"/>
          <w:lang w:eastAsia="zh-CN"/>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Times New Roman" w:hAnsi="Times New Roman" w:eastAsia="黑体" w:cs="Times New Roman"/>
          <w:b w:val="0"/>
          <w:bCs/>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Times New Roman" w:hAnsi="Times New Roman" w:eastAsia="黑体" w:cs="Times New Roman"/>
          <w:b w:val="0"/>
          <w:bCs/>
          <w:sz w:val="32"/>
          <w:szCs w:val="32"/>
          <w:lang w:eastAsia="zh-CN"/>
        </w:rPr>
      </w:pPr>
    </w:p>
    <w:p>
      <w:pPr>
        <w:rPr>
          <w:rFonts w:hint="default" w:ascii="Times New Roman" w:hAnsi="Times New Roman" w:eastAsia="黑体" w:cs="Times New Roman"/>
          <w:b w:val="0"/>
          <w:bCs/>
          <w:sz w:val="32"/>
          <w:szCs w:val="32"/>
          <w:lang w:eastAsia="zh-CN"/>
        </w:rPr>
      </w:pPr>
      <w:r>
        <w:rPr>
          <w:rFonts w:hint="default" w:ascii="Times New Roman" w:hAnsi="Times New Roman" w:eastAsia="黑体" w:cs="Times New Roman"/>
          <w:b w:val="0"/>
          <w:bCs/>
          <w:sz w:val="32"/>
          <w:szCs w:val="32"/>
          <w:lang w:eastAsia="zh-CN"/>
        </w:rPr>
        <w:br w:type="page"/>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Times New Roman" w:hAnsi="Times New Roman" w:eastAsia="黑体" w:cs="Times New Roman"/>
          <w:b w:val="0"/>
          <w:bCs/>
          <w:sz w:val="32"/>
          <w:szCs w:val="32"/>
          <w:lang w:val="en-US" w:eastAsia="zh-CN"/>
        </w:rPr>
      </w:pPr>
      <w:r>
        <w:rPr>
          <w:rFonts w:hint="default" w:ascii="Times New Roman" w:hAnsi="Times New Roman" w:eastAsia="黑体" w:cs="Times New Roman"/>
          <w:b w:val="0"/>
          <w:bCs/>
          <w:sz w:val="32"/>
          <w:szCs w:val="32"/>
          <w:lang w:eastAsia="zh-CN"/>
        </w:rPr>
        <w:t>案例</w:t>
      </w:r>
      <w:r>
        <w:rPr>
          <w:rFonts w:hint="default" w:ascii="Times New Roman" w:hAnsi="Times New Roman" w:eastAsia="黑体" w:cs="Times New Roman"/>
          <w:b w:val="0"/>
          <w:bCs/>
          <w:sz w:val="32"/>
          <w:szCs w:val="32"/>
          <w:lang w:val="en-US" w:eastAsia="zh-CN"/>
        </w:rPr>
        <w:t>4</w:t>
      </w:r>
    </w:p>
    <w:p>
      <w:pPr>
        <w:pStyle w:val="19"/>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cs="Times New Roman"/>
          <w:b/>
          <w:sz w:val="36"/>
          <w:szCs w:val="36"/>
        </w:rPr>
      </w:pPr>
      <w:r>
        <w:rPr>
          <w:rFonts w:hint="default" w:ascii="Times New Roman" w:hAnsi="Times New Roman" w:eastAsia="方正小标宋简体" w:cs="Times New Roman"/>
          <w:b w:val="0"/>
          <w:bCs/>
          <w:sz w:val="44"/>
          <w:szCs w:val="44"/>
        </w:rPr>
        <w:t>打造新型职业农民“双创”示范基地</w:t>
      </w:r>
    </w:p>
    <w:p>
      <w:pPr>
        <w:pStyle w:val="10"/>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654" w:firstLineChars="200"/>
        <w:jc w:val="both"/>
        <w:textAlignment w:val="auto"/>
        <w:rPr>
          <w:rFonts w:hint="default" w:ascii="Times New Roman" w:hAnsi="Times New Roman" w:eastAsia="仿宋_GB2312" w:cs="Times New Roman"/>
          <w:color w:val="000000"/>
          <w:sz w:val="32"/>
          <w:szCs w:val="32"/>
          <w:lang w:eastAsia="zh-CN"/>
        </w:rPr>
      </w:pPr>
    </w:p>
    <w:p>
      <w:pPr>
        <w:pStyle w:val="10"/>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654" w:firstLineChars="200"/>
        <w:jc w:val="both"/>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lang w:eastAsia="zh-CN"/>
        </w:rPr>
        <w:t>为更好地落实国务院“大众创新、万众创业”的战略部署，陕西自贸试验区</w:t>
      </w:r>
      <w:r>
        <w:rPr>
          <w:rFonts w:hint="default" w:ascii="Times New Roman" w:hAnsi="Times New Roman" w:eastAsia="仿宋_GB2312" w:cs="Times New Roman"/>
          <w:color w:val="000000"/>
          <w:sz w:val="32"/>
          <w:szCs w:val="32"/>
        </w:rPr>
        <w:t>杨凌</w:t>
      </w:r>
      <w:r>
        <w:rPr>
          <w:rFonts w:hint="default" w:ascii="Times New Roman" w:hAnsi="Times New Roman" w:eastAsia="仿宋_GB2312" w:cs="Times New Roman"/>
          <w:color w:val="000000"/>
          <w:sz w:val="32"/>
          <w:szCs w:val="32"/>
          <w:lang w:eastAsia="zh-CN"/>
        </w:rPr>
        <w:t>片区</w:t>
      </w:r>
      <w:r>
        <w:rPr>
          <w:rFonts w:hint="default" w:ascii="Times New Roman" w:hAnsi="Times New Roman" w:eastAsia="仿宋_GB2312" w:cs="Times New Roman"/>
          <w:color w:val="000000"/>
          <w:sz w:val="32"/>
          <w:szCs w:val="32"/>
        </w:rPr>
        <w:t>探索形成了一套以高等职业院校为依托，校地联动、产教融合、工学结合、平台支撑、政策保障的新型职业农民培养模式，促进了农业农村领域创新创业发展，使职业农民成为发展现代农业的“生力军”、实施乡村振兴战略的“领头人”，提高了农民收入水平，为其他地区鼓励农民创新创业、促进农民增收提供了示范。</w:t>
      </w:r>
    </w:p>
    <w:p>
      <w:pPr>
        <w:pStyle w:val="10"/>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654" w:firstLineChars="200"/>
        <w:jc w:val="both"/>
        <w:textAlignment w:val="auto"/>
        <w:rPr>
          <w:rFonts w:hint="default" w:ascii="Times New Roman" w:hAnsi="Times New Roman" w:eastAsia="黑体" w:cs="Times New Roman"/>
          <w:color w:val="000000"/>
          <w:sz w:val="32"/>
          <w:szCs w:val="32"/>
        </w:rPr>
      </w:pPr>
      <w:r>
        <w:rPr>
          <w:rFonts w:hint="default" w:ascii="Times New Roman" w:hAnsi="Times New Roman" w:eastAsia="黑体" w:cs="Times New Roman"/>
          <w:color w:val="000000"/>
          <w:sz w:val="32"/>
          <w:szCs w:val="32"/>
        </w:rPr>
        <w:t>一、主要做法</w:t>
      </w:r>
    </w:p>
    <w:p>
      <w:pPr>
        <w:pStyle w:val="10"/>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654" w:firstLineChars="200"/>
        <w:jc w:val="both"/>
        <w:textAlignment w:val="auto"/>
        <w:rPr>
          <w:rFonts w:hint="default" w:ascii="Times New Roman" w:hAnsi="Times New Roman" w:eastAsia="仿宋_GB2312" w:cs="Times New Roman"/>
          <w:kern w:val="2"/>
          <w:sz w:val="32"/>
          <w:szCs w:val="32"/>
        </w:rPr>
      </w:pPr>
      <w:r>
        <w:rPr>
          <w:rFonts w:hint="default" w:ascii="Times New Roman" w:hAnsi="Times New Roman" w:eastAsia="楷体_GB2312" w:cs="Times New Roman"/>
          <w:b/>
          <w:bCs/>
          <w:color w:val="000000"/>
          <w:sz w:val="32"/>
          <w:szCs w:val="32"/>
        </w:rPr>
        <w:t>（一）创新职业农民培训体系。</w:t>
      </w:r>
      <w:r>
        <w:rPr>
          <w:rFonts w:hint="default" w:ascii="Times New Roman" w:hAnsi="Times New Roman" w:eastAsia="仿宋_GB2312" w:cs="Times New Roman"/>
          <w:kern w:val="2"/>
          <w:sz w:val="32"/>
          <w:szCs w:val="32"/>
        </w:rPr>
        <w:t>充分发挥农科教资源优势，建立了全国独有的农民技术评审标准体系，在全国率先实施农民全日制学历教育，设立杨凌职业农民培训管理中心，出台《杨凌示范区农民技术职称管理办法》，围绕干旱半干旱区域农业主导产业和农民科技需求，面向陕西乃至旱区，开展技术培训，对经过系统系列培训的农民创新性地组织开展免费技术职称评定工作。设立职业农民海外培训专项资金，开展职业农民“走出去”海外培训，帮助农民增长见识、学习本领，将国外的先进技术和经营理念推广应用到生产实践中。</w:t>
      </w:r>
    </w:p>
    <w:p>
      <w:pPr>
        <w:pStyle w:val="10"/>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654" w:firstLineChars="200"/>
        <w:jc w:val="both"/>
        <w:textAlignment w:val="auto"/>
        <w:rPr>
          <w:rFonts w:hint="default" w:ascii="Times New Roman" w:hAnsi="Times New Roman" w:eastAsia="仿宋_GB2312" w:cs="Times New Roman"/>
          <w:kern w:val="2"/>
          <w:sz w:val="32"/>
          <w:szCs w:val="32"/>
        </w:rPr>
      </w:pPr>
      <w:r>
        <w:rPr>
          <w:rFonts w:hint="default" w:ascii="Times New Roman" w:hAnsi="Times New Roman" w:eastAsia="楷体_GB2312" w:cs="Times New Roman"/>
          <w:b/>
          <w:bCs/>
          <w:color w:val="000000"/>
          <w:sz w:val="32"/>
          <w:szCs w:val="32"/>
        </w:rPr>
        <w:t>（二）建立农业专业孵化载体。</w:t>
      </w:r>
      <w:r>
        <w:rPr>
          <w:rFonts w:hint="default" w:ascii="Times New Roman" w:hAnsi="Times New Roman" w:eastAsia="仿宋_GB2312" w:cs="Times New Roman"/>
          <w:kern w:val="2"/>
          <w:sz w:val="32"/>
          <w:szCs w:val="32"/>
        </w:rPr>
        <w:t>建成了众创田园、职业农</w:t>
      </w:r>
      <w:r>
        <w:rPr>
          <w:rFonts w:hint="default" w:ascii="Times New Roman" w:hAnsi="Times New Roman" w:eastAsia="仿宋_GB2312" w:cs="Times New Roman"/>
          <w:kern w:val="2"/>
          <w:sz w:val="32"/>
          <w:szCs w:val="32"/>
          <w:lang w:eastAsia="zh-CN"/>
        </w:rPr>
        <w:t>民</w:t>
      </w:r>
      <w:r>
        <w:rPr>
          <w:rFonts w:hint="default" w:ascii="Times New Roman" w:hAnsi="Times New Roman" w:eastAsia="仿宋_GB2312" w:cs="Times New Roman"/>
          <w:kern w:val="2"/>
          <w:sz w:val="32"/>
          <w:szCs w:val="32"/>
        </w:rPr>
        <w:t>创业创新园、现代农业精准扶贫创业园、种子产业园、农产品加工园，加快建设电子商务产业园、农业创意与研发设计基地等农业专业孵化器，孵化面积达60多万平方米，搭建起面向职业农民、被征地农民、返乡人员等的各类创业孵化基地。以职业农民创业创新园为例，园区将农民就业与职业农民培训相结合，对参训农民采取“务工式”实训，每月发</w:t>
      </w:r>
      <w:r>
        <w:rPr>
          <w:rFonts w:hint="default" w:ascii="Times New Roman" w:hAnsi="Times New Roman" w:eastAsia="仿宋_GB2312" w:cs="Times New Roman"/>
          <w:kern w:val="2"/>
          <w:sz w:val="32"/>
          <w:szCs w:val="32"/>
          <w:lang w:eastAsia="zh-CN"/>
        </w:rPr>
        <w:t>放</w:t>
      </w:r>
      <w:r>
        <w:rPr>
          <w:rFonts w:hint="default" w:ascii="Times New Roman" w:hAnsi="Times New Roman" w:eastAsia="仿宋_GB2312" w:cs="Times New Roman"/>
          <w:kern w:val="2"/>
          <w:sz w:val="32"/>
          <w:szCs w:val="32"/>
        </w:rPr>
        <w:t>3000元技术实训劳动报酬，真正做到“做给农民看、教会农民干、帮着农民赚”。</w:t>
      </w:r>
    </w:p>
    <w:p>
      <w:pPr>
        <w:pStyle w:val="10"/>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654" w:firstLineChars="200"/>
        <w:jc w:val="both"/>
        <w:textAlignment w:val="auto"/>
        <w:rPr>
          <w:rFonts w:hint="default" w:ascii="Times New Roman" w:hAnsi="Times New Roman" w:eastAsia="仿宋_GB2312" w:cs="Times New Roman"/>
          <w:kern w:val="2"/>
          <w:sz w:val="32"/>
          <w:szCs w:val="32"/>
        </w:rPr>
      </w:pPr>
      <w:r>
        <w:rPr>
          <w:rFonts w:hint="default" w:ascii="Times New Roman" w:hAnsi="Times New Roman" w:eastAsia="楷体_GB2312" w:cs="Times New Roman"/>
          <w:b/>
          <w:bCs/>
          <w:color w:val="000000"/>
          <w:sz w:val="32"/>
          <w:szCs w:val="32"/>
        </w:rPr>
        <w:t>（三）</w:t>
      </w:r>
      <w:r>
        <w:rPr>
          <w:rFonts w:hint="default" w:ascii="Times New Roman" w:hAnsi="Times New Roman" w:eastAsia="楷体_GB2312" w:cs="Times New Roman"/>
          <w:b/>
          <w:bCs/>
          <w:color w:val="000000"/>
          <w:sz w:val="32"/>
          <w:szCs w:val="32"/>
          <w:lang w:eastAsia="zh-CN"/>
        </w:rPr>
        <w:t>加大</w:t>
      </w:r>
      <w:r>
        <w:rPr>
          <w:rFonts w:hint="default" w:ascii="Times New Roman" w:hAnsi="Times New Roman" w:eastAsia="楷体_GB2312" w:cs="Times New Roman"/>
          <w:b/>
          <w:bCs/>
          <w:color w:val="000000"/>
          <w:sz w:val="32"/>
          <w:szCs w:val="32"/>
        </w:rPr>
        <w:t>政策</w:t>
      </w:r>
      <w:r>
        <w:rPr>
          <w:rFonts w:hint="default" w:ascii="Times New Roman" w:hAnsi="Times New Roman" w:eastAsia="楷体_GB2312" w:cs="Times New Roman"/>
          <w:b/>
          <w:bCs/>
          <w:color w:val="000000"/>
          <w:sz w:val="32"/>
          <w:szCs w:val="32"/>
          <w:lang w:eastAsia="zh-CN"/>
        </w:rPr>
        <w:t>引导</w:t>
      </w:r>
      <w:r>
        <w:rPr>
          <w:rFonts w:hint="default" w:ascii="Times New Roman" w:hAnsi="Times New Roman" w:eastAsia="楷体_GB2312" w:cs="Times New Roman"/>
          <w:b/>
          <w:bCs/>
          <w:color w:val="000000"/>
          <w:sz w:val="32"/>
          <w:szCs w:val="32"/>
        </w:rPr>
        <w:t>扶持</w:t>
      </w:r>
      <w:r>
        <w:rPr>
          <w:rFonts w:hint="default" w:ascii="Times New Roman" w:hAnsi="Times New Roman" w:eastAsia="楷体_GB2312" w:cs="Times New Roman"/>
          <w:b/>
          <w:bCs/>
          <w:color w:val="000000"/>
          <w:sz w:val="32"/>
          <w:szCs w:val="32"/>
          <w:lang w:eastAsia="zh-CN"/>
        </w:rPr>
        <w:t>力度</w:t>
      </w:r>
      <w:r>
        <w:rPr>
          <w:rFonts w:hint="default" w:ascii="Times New Roman" w:hAnsi="Times New Roman" w:eastAsia="楷体_GB2312" w:cs="Times New Roman"/>
          <w:b/>
          <w:bCs/>
          <w:color w:val="000000"/>
          <w:sz w:val="32"/>
          <w:szCs w:val="32"/>
        </w:rPr>
        <w:t>。</w:t>
      </w:r>
      <w:r>
        <w:rPr>
          <w:rFonts w:hint="default" w:ascii="Times New Roman" w:hAnsi="Times New Roman" w:eastAsia="仿宋_GB2312" w:cs="Times New Roman"/>
          <w:kern w:val="2"/>
          <w:sz w:val="32"/>
          <w:szCs w:val="32"/>
        </w:rPr>
        <w:t>自贸试验区设立以来，先后出台28项政策措施，从土地流转、技术帮扶、资金支持、社会保障等方面支持职业农民、返乡人员、失地农民大力发展现代农业、农业电商、休闲农业与研学旅行等新兴产业</w:t>
      </w:r>
      <w:r>
        <w:rPr>
          <w:rFonts w:hint="default" w:ascii="Times New Roman" w:hAnsi="Times New Roman" w:eastAsia="仿宋_GB2312" w:cs="Times New Roman"/>
          <w:kern w:val="2"/>
          <w:sz w:val="32"/>
          <w:szCs w:val="32"/>
          <w:lang w:eastAsia="zh-CN"/>
        </w:rPr>
        <w:t>，</w:t>
      </w:r>
      <w:r>
        <w:rPr>
          <w:rFonts w:hint="default" w:ascii="Times New Roman" w:hAnsi="Times New Roman" w:eastAsia="仿宋_GB2312" w:cs="Times New Roman"/>
          <w:kern w:val="2"/>
          <w:sz w:val="32"/>
          <w:szCs w:val="32"/>
        </w:rPr>
        <w:t>形成了覆盖“双创”全过程、全方位的扶持政策体系。设立了1000万元的创业种子孵化专项资金，</w:t>
      </w:r>
      <w:r>
        <w:rPr>
          <w:rFonts w:hint="default" w:ascii="Times New Roman" w:hAnsi="Times New Roman" w:eastAsia="仿宋_GB2312" w:cs="Times New Roman"/>
          <w:kern w:val="2"/>
          <w:sz w:val="32"/>
          <w:szCs w:val="32"/>
          <w:lang w:eastAsia="zh-CN"/>
        </w:rPr>
        <w:t>同时</w:t>
      </w:r>
      <w:r>
        <w:rPr>
          <w:rFonts w:hint="default" w:ascii="Times New Roman" w:hAnsi="Times New Roman" w:eastAsia="仿宋_GB2312" w:cs="Times New Roman"/>
          <w:kern w:val="2"/>
          <w:sz w:val="32"/>
          <w:szCs w:val="32"/>
        </w:rPr>
        <w:t>每年</w:t>
      </w:r>
      <w:r>
        <w:rPr>
          <w:rFonts w:hint="default" w:ascii="Times New Roman" w:hAnsi="Times New Roman" w:eastAsia="仿宋_GB2312" w:cs="Times New Roman"/>
          <w:kern w:val="2"/>
          <w:sz w:val="32"/>
          <w:szCs w:val="32"/>
          <w:lang w:eastAsia="zh-CN"/>
        </w:rPr>
        <w:t>拨付“双创”</w:t>
      </w:r>
      <w:r>
        <w:rPr>
          <w:rFonts w:hint="default" w:ascii="Times New Roman" w:hAnsi="Times New Roman" w:eastAsia="仿宋_GB2312" w:cs="Times New Roman"/>
          <w:kern w:val="2"/>
          <w:sz w:val="32"/>
          <w:szCs w:val="32"/>
        </w:rPr>
        <w:t>扶持资金近2000万元，探索开展了农村“两权”抵押贷款、“银保贷”和农业天使投资基金等改革创新举措，形成了良好的创新创业生态。</w:t>
      </w:r>
    </w:p>
    <w:p>
      <w:pPr>
        <w:pStyle w:val="10"/>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654" w:firstLineChars="200"/>
        <w:jc w:val="both"/>
        <w:textAlignment w:val="auto"/>
        <w:rPr>
          <w:rFonts w:hint="default" w:ascii="Times New Roman" w:hAnsi="Times New Roman" w:eastAsia="黑体" w:cs="Times New Roman"/>
          <w:color w:val="000000"/>
          <w:sz w:val="32"/>
          <w:szCs w:val="32"/>
        </w:rPr>
      </w:pPr>
      <w:r>
        <w:rPr>
          <w:rFonts w:hint="default" w:ascii="Times New Roman" w:hAnsi="Times New Roman" w:eastAsia="黑体" w:cs="Times New Roman"/>
          <w:color w:val="000000"/>
          <w:sz w:val="32"/>
          <w:szCs w:val="32"/>
        </w:rPr>
        <w:t>二、实践效果</w:t>
      </w:r>
    </w:p>
    <w:p>
      <w:pPr>
        <w:pStyle w:val="10"/>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654" w:firstLineChars="200"/>
        <w:jc w:val="both"/>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目前，杨凌片区已累计培养了200多名有大专学历的职业农民，成为适应新时代农村发展的有文化、懂技能、善经营、会管理、能致富的乡村人才。2019年面向旱区培训职业农民6.1万人，1671人获得了杨凌示范区农民技术职称证书。全国累计14469人获得杨凌示范区农民技术证书，涉及全国22个省、直辖市、自治区。区内已有240名农民通过自主创业当上了“老板”，并带动5000多人实现就业。</w:t>
      </w:r>
    </w:p>
    <w:p>
      <w:pPr>
        <w:pStyle w:val="10"/>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654" w:firstLineChars="200"/>
        <w:jc w:val="both"/>
        <w:textAlignment w:val="auto"/>
        <w:rPr>
          <w:rFonts w:hint="default" w:ascii="Times New Roman" w:hAnsi="Times New Roman" w:eastAsia="黑体" w:cs="Times New Roman"/>
          <w:color w:val="000000"/>
          <w:sz w:val="32"/>
          <w:szCs w:val="32"/>
        </w:rPr>
      </w:pPr>
      <w:r>
        <w:rPr>
          <w:rFonts w:hint="default" w:ascii="Times New Roman" w:hAnsi="Times New Roman" w:eastAsia="黑体" w:cs="Times New Roman"/>
          <w:color w:val="000000"/>
          <w:sz w:val="32"/>
          <w:szCs w:val="32"/>
        </w:rPr>
        <w:t>三、下一步工作思路</w:t>
      </w:r>
    </w:p>
    <w:p>
      <w:pPr>
        <w:pStyle w:val="10"/>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654"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下一步，</w:t>
      </w:r>
      <w:r>
        <w:rPr>
          <w:rFonts w:hint="default" w:ascii="Times New Roman" w:hAnsi="Times New Roman" w:eastAsia="仿宋_GB2312" w:cs="Times New Roman"/>
          <w:bCs/>
          <w:sz w:val="32"/>
          <w:szCs w:val="32"/>
        </w:rPr>
        <w:t>陕西自贸试验区</w:t>
      </w:r>
      <w:r>
        <w:rPr>
          <w:rFonts w:hint="default" w:ascii="Times New Roman" w:hAnsi="Times New Roman" w:eastAsia="仿宋_GB2312" w:cs="Times New Roman"/>
          <w:sz w:val="32"/>
          <w:szCs w:val="32"/>
          <w:lang w:eastAsia="zh-CN"/>
        </w:rPr>
        <w:t>杨凌片区将</w:t>
      </w:r>
      <w:r>
        <w:rPr>
          <w:rFonts w:hint="default" w:ascii="Times New Roman" w:hAnsi="Times New Roman" w:eastAsia="仿宋_GB2312" w:cs="Times New Roman"/>
          <w:sz w:val="32"/>
          <w:szCs w:val="32"/>
        </w:rPr>
        <w:t>继续实施创新驱动发展战略，围绕现代农业、农业科技服务业和“互联网+农业”，进一步打造农业特色鲜明的双创示范基地。推进田间学堂、网络学堂等建设；积极发挥农科教资源优势，加强农业科技示范推广基地建设，开展农业科技培训，带动贫困地区农民创新创业；不断优化农村金融环境，</w:t>
      </w:r>
      <w:r>
        <w:rPr>
          <w:rFonts w:hint="default" w:ascii="Times New Roman" w:hAnsi="Times New Roman" w:eastAsia="仿宋_GB2312" w:cs="Times New Roman"/>
          <w:sz w:val="32"/>
          <w:szCs w:val="32"/>
          <w:lang w:eastAsia="zh-CN"/>
        </w:rPr>
        <w:t>打造</w:t>
      </w:r>
      <w:r>
        <w:rPr>
          <w:rFonts w:hint="default" w:ascii="Times New Roman" w:hAnsi="Times New Roman" w:eastAsia="仿宋_GB2312" w:cs="Times New Roman"/>
          <w:sz w:val="32"/>
          <w:szCs w:val="32"/>
        </w:rPr>
        <w:t>农业特色金融服务平台。</w:t>
      </w:r>
    </w:p>
    <w:p>
      <w:pPr>
        <w:pStyle w:val="10"/>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654" w:firstLineChars="200"/>
        <w:jc w:val="right"/>
        <w:textAlignment w:val="auto"/>
        <w:rPr>
          <w:rFonts w:hint="default" w:ascii="Times New Roman" w:hAnsi="Times New Roman" w:eastAsia="仿宋_GB2312" w:cs="Times New Roman"/>
          <w:sz w:val="32"/>
          <w:szCs w:val="32"/>
          <w:lang w:eastAsia="zh-CN"/>
        </w:rPr>
      </w:pPr>
    </w:p>
    <w:p>
      <w:pPr>
        <w:keepNext w:val="0"/>
        <w:keepLines w:val="0"/>
        <w:pageBreakBefore w:val="0"/>
        <w:widowControl w:val="0"/>
        <w:kinsoku/>
        <w:wordWrap/>
        <w:overflowPunct/>
        <w:topLinePunct w:val="0"/>
        <w:autoSpaceDE/>
        <w:autoSpaceDN/>
        <w:bidi w:val="0"/>
        <w:snapToGrid/>
        <w:spacing w:line="360" w:lineRule="auto"/>
        <w:jc w:val="center"/>
        <w:textAlignment w:val="auto"/>
        <w:rPr>
          <w:rFonts w:hint="default" w:ascii="Times New Roman" w:hAnsi="Times New Roman" w:eastAsia="宋体" w:cs="Times New Roman"/>
          <w:b/>
          <w:bCs/>
          <w:sz w:val="36"/>
          <w:szCs w:val="36"/>
          <w:lang w:val="en-US" w:eastAsia="zh-CN"/>
        </w:rPr>
      </w:pPr>
    </w:p>
    <w:p>
      <w:pPr>
        <w:keepNext w:val="0"/>
        <w:keepLines w:val="0"/>
        <w:pageBreakBefore w:val="0"/>
        <w:widowControl w:val="0"/>
        <w:kinsoku/>
        <w:wordWrap/>
        <w:overflowPunct/>
        <w:topLinePunct w:val="0"/>
        <w:autoSpaceDE/>
        <w:autoSpaceDN/>
        <w:bidi w:val="0"/>
        <w:snapToGrid/>
        <w:spacing w:line="360" w:lineRule="auto"/>
        <w:jc w:val="both"/>
        <w:textAlignment w:val="auto"/>
        <w:rPr>
          <w:rFonts w:hint="default" w:ascii="Times New Roman" w:hAnsi="Times New Roman" w:eastAsia="宋体" w:cs="Times New Roman"/>
          <w:b/>
          <w:bCs/>
          <w:sz w:val="36"/>
          <w:szCs w:val="36"/>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default" w:ascii="Times New Roman" w:hAnsi="Times New Roman" w:cs="Times New Roman"/>
          <w:b/>
          <w:bCs/>
          <w:sz w:val="36"/>
          <w:szCs w:val="36"/>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default" w:ascii="Times New Roman" w:hAnsi="Times New Roman" w:cs="Times New Roman"/>
          <w:b/>
          <w:bCs/>
          <w:sz w:val="36"/>
          <w:szCs w:val="36"/>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default" w:ascii="Times New Roman" w:hAnsi="Times New Roman" w:cs="Times New Roman"/>
          <w:b/>
          <w:bCs/>
          <w:sz w:val="36"/>
          <w:szCs w:val="36"/>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default" w:ascii="Times New Roman" w:hAnsi="Times New Roman" w:cs="Times New Roman"/>
          <w:b/>
          <w:bCs/>
          <w:sz w:val="36"/>
          <w:szCs w:val="36"/>
          <w:lang w:val="en-US" w:eastAsia="zh-CN"/>
        </w:rPr>
      </w:pPr>
    </w:p>
    <w:p>
      <w:pPr>
        <w:rPr>
          <w:rFonts w:hint="default" w:ascii="Times New Roman" w:hAnsi="Times New Roman" w:cs="Times New Roman"/>
          <w:b/>
          <w:bCs/>
          <w:sz w:val="36"/>
          <w:szCs w:val="36"/>
          <w:lang w:val="en-US" w:eastAsia="zh-CN"/>
        </w:rPr>
      </w:pPr>
      <w:r>
        <w:rPr>
          <w:rFonts w:hint="default" w:ascii="Times New Roman" w:hAnsi="Times New Roman" w:cs="Times New Roman"/>
          <w:b/>
          <w:bCs/>
          <w:sz w:val="36"/>
          <w:szCs w:val="36"/>
          <w:lang w:val="en-US" w:eastAsia="zh-CN"/>
        </w:rPr>
        <w:br w:type="page"/>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0"/>
        <w:rPr>
          <w:rFonts w:hint="default" w:ascii="Times New Roman" w:hAnsi="Times New Roman" w:eastAsia="黑体" w:cs="Times New Roman"/>
          <w:b w:val="0"/>
          <w:bCs w:val="0"/>
          <w:sz w:val="32"/>
          <w:szCs w:val="32"/>
          <w:lang w:val="en-US" w:eastAsia="zh-CN"/>
        </w:rPr>
      </w:pPr>
      <w:r>
        <w:rPr>
          <w:rFonts w:hint="default" w:ascii="Times New Roman" w:hAnsi="Times New Roman" w:eastAsia="黑体" w:cs="Times New Roman"/>
          <w:b w:val="0"/>
          <w:bCs w:val="0"/>
          <w:sz w:val="32"/>
          <w:szCs w:val="32"/>
          <w:lang w:eastAsia="zh-CN"/>
        </w:rPr>
        <w:t>案例</w:t>
      </w:r>
      <w:r>
        <w:rPr>
          <w:rFonts w:hint="default" w:ascii="Times New Roman" w:hAnsi="Times New Roman" w:eastAsia="黑体" w:cs="Times New Roman"/>
          <w:b w:val="0"/>
          <w:bCs w:val="0"/>
          <w:sz w:val="32"/>
          <w:szCs w:val="32"/>
          <w:lang w:val="en-US" w:eastAsia="zh-CN"/>
        </w:rPr>
        <w:t>5</w:t>
      </w:r>
    </w:p>
    <w:p>
      <w:pPr>
        <w:pStyle w:val="19"/>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简体" w:cs="Times New Roman"/>
          <w:b w:val="0"/>
          <w:bCs w:val="0"/>
          <w:sz w:val="44"/>
          <w:szCs w:val="44"/>
        </w:rPr>
      </w:pPr>
      <w:r>
        <w:rPr>
          <w:rFonts w:hint="default" w:ascii="Times New Roman" w:hAnsi="Times New Roman" w:eastAsia="方正小标宋简体" w:cs="Times New Roman"/>
          <w:b w:val="0"/>
          <w:bCs w:val="0"/>
          <w:sz w:val="44"/>
          <w:szCs w:val="44"/>
        </w:rPr>
        <w:t>国际保理美元融资新模式</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现有模式下，</w:t>
      </w:r>
      <w:r>
        <w:rPr>
          <w:rFonts w:hint="default" w:ascii="Times New Roman" w:hAnsi="Times New Roman" w:eastAsia="仿宋_GB2312" w:cs="Times New Roman"/>
          <w:sz w:val="32"/>
          <w:szCs w:val="32"/>
          <w:lang w:eastAsia="zh-CN"/>
        </w:rPr>
        <w:t>商业</w:t>
      </w:r>
      <w:r>
        <w:rPr>
          <w:rFonts w:hint="default" w:ascii="Times New Roman" w:hAnsi="Times New Roman" w:eastAsia="仿宋_GB2312" w:cs="Times New Roman"/>
          <w:sz w:val="32"/>
          <w:szCs w:val="32"/>
        </w:rPr>
        <w:t>保理企业不能开展外币融资业务，抑制了国际保理业务发展，加大了</w:t>
      </w:r>
      <w:r>
        <w:rPr>
          <w:rFonts w:hint="default" w:ascii="Times New Roman" w:hAnsi="Times New Roman" w:eastAsia="仿宋_GB2312" w:cs="Times New Roman"/>
          <w:sz w:val="32"/>
          <w:szCs w:val="32"/>
          <w:lang w:eastAsia="zh-CN"/>
        </w:rPr>
        <w:t>企业</w:t>
      </w:r>
      <w:r>
        <w:rPr>
          <w:rFonts w:hint="default" w:ascii="Times New Roman" w:hAnsi="Times New Roman" w:eastAsia="仿宋_GB2312" w:cs="Times New Roman"/>
          <w:sz w:val="32"/>
          <w:szCs w:val="32"/>
        </w:rPr>
        <w:t>融资成本。为解决</w:t>
      </w:r>
      <w:r>
        <w:rPr>
          <w:rFonts w:hint="default" w:ascii="Times New Roman" w:hAnsi="Times New Roman" w:eastAsia="仿宋_GB2312" w:cs="Times New Roman"/>
          <w:sz w:val="32"/>
          <w:szCs w:val="32"/>
          <w:lang w:eastAsia="zh-CN"/>
        </w:rPr>
        <w:t>这一</w:t>
      </w:r>
      <w:r>
        <w:rPr>
          <w:rFonts w:hint="default" w:ascii="Times New Roman" w:hAnsi="Times New Roman" w:eastAsia="仿宋_GB2312" w:cs="Times New Roman"/>
          <w:sz w:val="32"/>
          <w:szCs w:val="32"/>
        </w:rPr>
        <w:t>问题，</w:t>
      </w:r>
      <w:r>
        <w:rPr>
          <w:rFonts w:hint="default" w:ascii="Times New Roman" w:hAnsi="Times New Roman" w:eastAsia="仿宋_GB2312" w:cs="Times New Roman"/>
          <w:sz w:val="32"/>
          <w:szCs w:val="32"/>
          <w:lang w:eastAsia="zh-CN"/>
        </w:rPr>
        <w:t>陕西自贸试验区西安经开区功能区</w:t>
      </w:r>
      <w:r>
        <w:rPr>
          <w:rFonts w:hint="default" w:ascii="Times New Roman" w:hAnsi="Times New Roman" w:eastAsia="仿宋_GB2312" w:cs="Times New Roman"/>
          <w:sz w:val="32"/>
          <w:szCs w:val="32"/>
        </w:rPr>
        <w:t>商业保理</w:t>
      </w:r>
      <w:r>
        <w:rPr>
          <w:rFonts w:hint="default" w:ascii="Times New Roman" w:hAnsi="Times New Roman" w:eastAsia="仿宋_GB2312" w:cs="Times New Roman"/>
          <w:sz w:val="32"/>
          <w:szCs w:val="32"/>
          <w:lang w:eastAsia="zh-CN"/>
        </w:rPr>
        <w:t>企业</w:t>
      </w:r>
      <w:r>
        <w:rPr>
          <w:rFonts w:hint="default" w:ascii="Times New Roman" w:hAnsi="Times New Roman" w:eastAsia="仿宋_GB2312" w:cs="Times New Roman"/>
          <w:sz w:val="32"/>
          <w:szCs w:val="32"/>
        </w:rPr>
        <w:t>率先开展美元融资业务试点，</w:t>
      </w:r>
      <w:r>
        <w:rPr>
          <w:rFonts w:hint="default" w:ascii="Times New Roman" w:hAnsi="Times New Roman" w:eastAsia="仿宋_GB2312" w:cs="Times New Roman"/>
          <w:sz w:val="32"/>
          <w:szCs w:val="32"/>
          <w:lang w:eastAsia="zh-CN"/>
        </w:rPr>
        <w:t>有效缓解了企业回款周期长和融资成本高的问题，规避了汇率波动风险，</w:t>
      </w:r>
      <w:r>
        <w:rPr>
          <w:rFonts w:hint="default" w:ascii="Times New Roman" w:hAnsi="Times New Roman" w:eastAsia="仿宋_GB2312" w:cs="Times New Roman"/>
          <w:sz w:val="32"/>
          <w:szCs w:val="32"/>
        </w:rPr>
        <w:t>促进跨境电商、融资租赁等新业态</w:t>
      </w:r>
      <w:r>
        <w:rPr>
          <w:rFonts w:hint="default" w:ascii="Times New Roman" w:hAnsi="Times New Roman" w:eastAsia="仿宋_GB2312" w:cs="Times New Roman"/>
          <w:sz w:val="32"/>
          <w:szCs w:val="32"/>
          <w:lang w:eastAsia="zh-CN"/>
        </w:rPr>
        <w:t>快速</w:t>
      </w:r>
      <w:r>
        <w:rPr>
          <w:rFonts w:hint="default" w:ascii="Times New Roman" w:hAnsi="Times New Roman" w:eastAsia="仿宋_GB2312" w:cs="Times New Roman"/>
          <w:sz w:val="32"/>
          <w:szCs w:val="32"/>
        </w:rPr>
        <w:t>发展。</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一、主要做法</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商业保理</w:t>
      </w:r>
      <w:r>
        <w:rPr>
          <w:rFonts w:hint="default" w:ascii="Times New Roman" w:hAnsi="Times New Roman" w:eastAsia="仿宋_GB2312" w:cs="Times New Roman"/>
          <w:sz w:val="32"/>
          <w:szCs w:val="32"/>
          <w:lang w:eastAsia="zh-CN"/>
        </w:rPr>
        <w:t>企业通过受让出口企业以美元计价的应收账款，依据应收账款从银行申请获取国内外汇贷款，向出口企业提供一定比例的应收账款美元融资。出口企业收到的美元融资可以结汇使用，也可以直接用于海外采购或再生产；待出口企业收回国外买家的美元货款后，同样以美元收入向保理企业归还保理融资款。</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为防范化解</w:t>
      </w:r>
      <w:r>
        <w:rPr>
          <w:rFonts w:hint="default" w:ascii="Times New Roman" w:hAnsi="Times New Roman" w:eastAsia="仿宋_GB2312" w:cs="Times New Roman"/>
          <w:sz w:val="32"/>
          <w:szCs w:val="32"/>
          <w:lang w:val="en-US" w:eastAsia="zh-CN"/>
        </w:rPr>
        <w:t>风险</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b/>
          <w:bCs/>
          <w:sz w:val="32"/>
          <w:szCs w:val="32"/>
          <w:lang w:eastAsia="zh-CN"/>
        </w:rPr>
        <w:t>一是</w:t>
      </w:r>
      <w:r>
        <w:rPr>
          <w:rFonts w:hint="default" w:ascii="Times New Roman" w:hAnsi="Times New Roman" w:eastAsia="仿宋_GB2312" w:cs="Times New Roman"/>
          <w:sz w:val="32"/>
          <w:szCs w:val="32"/>
          <w:lang w:val="en-US" w:eastAsia="zh-CN"/>
        </w:rPr>
        <w:t>引入了中国出口信用保险公司（以下简称中信保），将保理企业纳入保险受益</w:t>
      </w:r>
      <w:r>
        <w:rPr>
          <w:rFonts w:hint="default" w:ascii="Times New Roman" w:hAnsi="Times New Roman" w:eastAsia="仿宋_GB2312" w:cs="Times New Roman"/>
          <w:sz w:val="32"/>
          <w:szCs w:val="32"/>
          <w:lang w:eastAsia="zh-CN"/>
        </w:rPr>
        <w:t>人，以出口企业向海外买家出口产生的应收账款作为底层资产，在海外买家不能偿还购买价款的情况下，由中信保给予赔偿；</w:t>
      </w:r>
      <w:r>
        <w:rPr>
          <w:rFonts w:hint="default" w:ascii="Times New Roman" w:hAnsi="Times New Roman" w:eastAsia="仿宋_GB2312" w:cs="Times New Roman"/>
          <w:b/>
          <w:bCs/>
          <w:sz w:val="32"/>
          <w:szCs w:val="32"/>
          <w:lang w:eastAsia="zh-CN"/>
        </w:rPr>
        <w:t>二是</w:t>
      </w:r>
      <w:r>
        <w:rPr>
          <w:rFonts w:hint="default" w:ascii="Times New Roman" w:hAnsi="Times New Roman" w:eastAsia="仿宋_GB2312" w:cs="Times New Roman"/>
          <w:sz w:val="32"/>
          <w:szCs w:val="32"/>
          <w:lang w:eastAsia="zh-CN"/>
        </w:rPr>
        <w:t>创新出口企业外汇专户共管模式，在坚持“谁出口，谁收汇，谁进口，谁付汇”的基本政策前提下，与出口企业签署监管协议，共管印鉴和银行U盾，以监管收汇、结汇账户，确保外汇资金安全；</w:t>
      </w:r>
      <w:r>
        <w:rPr>
          <w:rFonts w:hint="default" w:ascii="Times New Roman" w:hAnsi="Times New Roman" w:eastAsia="仿宋_GB2312" w:cs="Times New Roman"/>
          <w:b/>
          <w:bCs/>
          <w:sz w:val="32"/>
          <w:szCs w:val="32"/>
          <w:lang w:eastAsia="zh-CN"/>
        </w:rPr>
        <w:t>三是</w:t>
      </w:r>
      <w:r>
        <w:rPr>
          <w:rFonts w:hint="default" w:ascii="Times New Roman" w:hAnsi="Times New Roman" w:eastAsia="仿宋_GB2312" w:cs="Times New Roman"/>
          <w:sz w:val="32"/>
          <w:szCs w:val="32"/>
          <w:lang w:eastAsia="zh-CN"/>
        </w:rPr>
        <w:t>接入中国人民银行征信系统，通过征信系统了解客户全面信用情况，强化“事先预警”作用，促进企业诚信经营。</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b/>
          <w:bCs/>
          <w:color w:val="000000"/>
          <w:sz w:val="32"/>
          <w:szCs w:val="32"/>
        </w:rPr>
      </w:pPr>
      <w:r>
        <w:rPr>
          <w:rFonts w:hint="default" w:ascii="Times New Roman" w:hAnsi="Times New Roman" w:eastAsia="黑体" w:cs="Times New Roman"/>
          <w:sz w:val="32"/>
          <w:szCs w:val="32"/>
        </w:rPr>
        <w:t>二、实践效果</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color w:val="000000"/>
          <w:sz w:val="32"/>
          <w:szCs w:val="32"/>
          <w:lang w:eastAsia="zh-CN"/>
        </w:rPr>
      </w:pPr>
      <w:r>
        <w:rPr>
          <w:rFonts w:hint="default" w:ascii="Times New Roman" w:hAnsi="Times New Roman" w:eastAsia="楷体_GB2312" w:cs="Times New Roman"/>
          <w:b/>
          <w:color w:val="000000"/>
          <w:sz w:val="32"/>
          <w:szCs w:val="32"/>
          <w:lang w:eastAsia="zh-CN"/>
        </w:rPr>
        <w:t>（一）</w:t>
      </w:r>
      <w:r>
        <w:rPr>
          <w:rFonts w:hint="default" w:ascii="Times New Roman" w:hAnsi="Times New Roman" w:eastAsia="楷体_GB2312" w:cs="Times New Roman"/>
          <w:b/>
          <w:color w:val="000000"/>
          <w:sz w:val="32"/>
          <w:szCs w:val="32"/>
        </w:rPr>
        <w:t>开辟了中小微企业融资新渠道。</w:t>
      </w:r>
      <w:r>
        <w:rPr>
          <w:rFonts w:hint="default" w:ascii="Times New Roman" w:hAnsi="Times New Roman" w:eastAsia="仿宋_GB2312" w:cs="Times New Roman"/>
          <w:color w:val="000000"/>
          <w:sz w:val="32"/>
          <w:szCs w:val="32"/>
          <w:lang w:eastAsia="zh-CN"/>
        </w:rPr>
        <w:t>该模式突破了外币融资业务只能由商业银行开展的限制，改变了商业银行仅对有足够抵押和担保的企业开展保理融资业务的现状，使中小微企业获得外币融资更加便利。</w:t>
      </w:r>
      <w:r>
        <w:rPr>
          <w:rFonts w:hint="default" w:ascii="Times New Roman" w:hAnsi="Times New Roman" w:eastAsia="仿宋_GB2312" w:cs="Times New Roman"/>
          <w:sz w:val="32"/>
          <w:szCs w:val="32"/>
        </w:rPr>
        <w:t>今年3月首笔业务落地以来，已为</w:t>
      </w:r>
      <w:r>
        <w:rPr>
          <w:rFonts w:hint="default" w:ascii="Times New Roman" w:hAnsi="Times New Roman" w:eastAsia="仿宋_GB2312" w:cs="Times New Roman"/>
          <w:sz w:val="32"/>
          <w:szCs w:val="32"/>
          <w:lang w:eastAsia="zh-CN"/>
        </w:rPr>
        <w:t>上海、浙江、广东等地</w:t>
      </w:r>
      <w:r>
        <w:rPr>
          <w:rFonts w:hint="default" w:ascii="Times New Roman" w:hAnsi="Times New Roman" w:eastAsia="仿宋_GB2312" w:cs="Times New Roman"/>
          <w:sz w:val="32"/>
          <w:szCs w:val="32"/>
        </w:rPr>
        <w:t>约150家中小微出口企业通过国际保理方式提供</w:t>
      </w:r>
      <w:r>
        <w:rPr>
          <w:rFonts w:hint="default" w:ascii="Times New Roman" w:hAnsi="Times New Roman" w:eastAsia="仿宋_GB2312" w:cs="Times New Roman"/>
          <w:sz w:val="32"/>
          <w:szCs w:val="32"/>
          <w:lang w:eastAsia="zh-CN"/>
        </w:rPr>
        <w:t>美元</w:t>
      </w:r>
      <w:r>
        <w:rPr>
          <w:rFonts w:hint="default" w:ascii="Times New Roman" w:hAnsi="Times New Roman" w:eastAsia="仿宋_GB2312" w:cs="Times New Roman"/>
          <w:sz w:val="32"/>
          <w:szCs w:val="32"/>
        </w:rPr>
        <w:t>融资</w:t>
      </w:r>
      <w:r>
        <w:rPr>
          <w:rFonts w:hint="default" w:ascii="Times New Roman" w:hAnsi="Times New Roman" w:eastAsia="仿宋_GB2312" w:cs="Times New Roman"/>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sz w:val="32"/>
          <w:szCs w:val="32"/>
        </w:rPr>
      </w:pPr>
      <w:r>
        <w:rPr>
          <w:rFonts w:hint="default" w:ascii="Times New Roman" w:hAnsi="Times New Roman" w:eastAsia="楷体_GB2312" w:cs="Times New Roman"/>
          <w:b/>
          <w:sz w:val="32"/>
          <w:szCs w:val="32"/>
        </w:rPr>
        <w:t>（二）降低了企业融资时间和成本。</w:t>
      </w:r>
      <w:r>
        <w:rPr>
          <w:rFonts w:hint="default" w:ascii="Times New Roman" w:hAnsi="Times New Roman" w:eastAsia="仿宋_GB2312" w:cs="Times New Roman"/>
          <w:sz w:val="32"/>
          <w:szCs w:val="32"/>
          <w:lang w:eastAsia="zh-CN"/>
        </w:rPr>
        <w:t>该</w:t>
      </w:r>
      <w:r>
        <w:rPr>
          <w:rFonts w:hint="default" w:ascii="Times New Roman" w:hAnsi="Times New Roman" w:eastAsia="仿宋_GB2312" w:cs="Times New Roman"/>
          <w:sz w:val="32"/>
          <w:szCs w:val="32"/>
        </w:rPr>
        <w:t>模式下，中小微企业</w:t>
      </w:r>
      <w:r>
        <w:rPr>
          <w:rFonts w:hint="default" w:ascii="Times New Roman" w:hAnsi="Times New Roman" w:eastAsia="仿宋_GB2312" w:cs="Times New Roman"/>
          <w:sz w:val="32"/>
          <w:szCs w:val="32"/>
          <w:lang w:eastAsia="zh-CN"/>
        </w:rPr>
        <w:t>通过</w:t>
      </w:r>
      <w:r>
        <w:rPr>
          <w:rFonts w:hint="default" w:ascii="Times New Roman" w:hAnsi="Times New Roman" w:eastAsia="仿宋_GB2312" w:cs="Times New Roman"/>
          <w:sz w:val="32"/>
          <w:szCs w:val="32"/>
        </w:rPr>
        <w:t>线上申请，最快3天可获得美元融资，如果是入驻亚马逊等主流电商平台的企业</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当天受理、当天即可放款。</w:t>
      </w:r>
      <w:r>
        <w:rPr>
          <w:rFonts w:hint="default" w:ascii="Times New Roman" w:hAnsi="Times New Roman" w:eastAsia="仿宋_GB2312" w:cs="Times New Roman"/>
          <w:sz w:val="32"/>
          <w:szCs w:val="32"/>
          <w:lang w:eastAsia="zh-CN"/>
        </w:rPr>
        <w:t>从目前已发放的</w:t>
      </w:r>
      <w:r>
        <w:rPr>
          <w:rFonts w:hint="default" w:ascii="Times New Roman" w:hAnsi="Times New Roman" w:eastAsia="仿宋_GB2312" w:cs="Times New Roman"/>
          <w:sz w:val="32"/>
          <w:szCs w:val="32"/>
        </w:rPr>
        <w:t>500万美元</w:t>
      </w:r>
      <w:r>
        <w:rPr>
          <w:rFonts w:hint="default" w:ascii="Times New Roman" w:hAnsi="Times New Roman" w:eastAsia="仿宋_GB2312" w:cs="Times New Roman"/>
          <w:sz w:val="32"/>
          <w:szCs w:val="32"/>
          <w:lang w:eastAsia="zh-CN"/>
        </w:rPr>
        <w:t>融资落地情况看</w:t>
      </w:r>
      <w:r>
        <w:rPr>
          <w:rFonts w:hint="default" w:ascii="Times New Roman" w:hAnsi="Times New Roman" w:eastAsia="仿宋_GB2312" w:cs="Times New Roman"/>
          <w:sz w:val="32"/>
          <w:szCs w:val="32"/>
        </w:rPr>
        <w:t>，平均</w:t>
      </w:r>
      <w:r>
        <w:rPr>
          <w:rFonts w:hint="default" w:ascii="Times New Roman" w:hAnsi="Times New Roman" w:eastAsia="仿宋_GB2312" w:cs="Times New Roman"/>
          <w:sz w:val="32"/>
          <w:szCs w:val="32"/>
          <w:lang w:eastAsia="zh-CN"/>
        </w:rPr>
        <w:t>为企业</w:t>
      </w:r>
      <w:r>
        <w:rPr>
          <w:rFonts w:hint="default" w:ascii="Times New Roman" w:hAnsi="Times New Roman" w:eastAsia="仿宋_GB2312" w:cs="Times New Roman"/>
          <w:sz w:val="32"/>
          <w:szCs w:val="32"/>
        </w:rPr>
        <w:t>节省融资成本3%以上。</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b/>
          <w:bCs/>
          <w:sz w:val="32"/>
          <w:szCs w:val="32"/>
        </w:rPr>
      </w:pPr>
      <w:r>
        <w:rPr>
          <w:rFonts w:hint="default" w:ascii="Times New Roman" w:hAnsi="Times New Roman" w:eastAsia="楷体_GB2312" w:cs="Times New Roman"/>
          <w:b/>
          <w:color w:val="000000"/>
          <w:sz w:val="32"/>
          <w:szCs w:val="32"/>
          <w:lang w:eastAsia="zh-CN"/>
        </w:rPr>
        <w:t>（三）</w:t>
      </w:r>
      <w:r>
        <w:rPr>
          <w:rFonts w:hint="default" w:ascii="Times New Roman" w:hAnsi="Times New Roman" w:eastAsia="楷体_GB2312" w:cs="Times New Roman"/>
          <w:b/>
          <w:color w:val="000000"/>
          <w:sz w:val="32"/>
          <w:szCs w:val="32"/>
        </w:rPr>
        <w:t>规避</w:t>
      </w:r>
      <w:r>
        <w:rPr>
          <w:rFonts w:hint="default" w:ascii="Times New Roman" w:hAnsi="Times New Roman" w:eastAsia="楷体_GB2312" w:cs="Times New Roman"/>
          <w:b/>
          <w:color w:val="000000"/>
          <w:sz w:val="32"/>
          <w:szCs w:val="32"/>
          <w:lang w:eastAsia="zh-CN"/>
        </w:rPr>
        <w:t>了</w:t>
      </w:r>
      <w:r>
        <w:rPr>
          <w:rFonts w:hint="default" w:ascii="Times New Roman" w:hAnsi="Times New Roman" w:eastAsia="楷体_GB2312" w:cs="Times New Roman"/>
          <w:b/>
          <w:color w:val="000000"/>
          <w:sz w:val="32"/>
          <w:szCs w:val="32"/>
        </w:rPr>
        <w:t>出口企业汇率波动风险。</w:t>
      </w:r>
      <w:r>
        <w:rPr>
          <w:rFonts w:hint="default" w:ascii="Times New Roman" w:hAnsi="Times New Roman" w:eastAsia="仿宋_GB2312" w:cs="Times New Roman"/>
          <w:sz w:val="32"/>
          <w:szCs w:val="32"/>
        </w:rPr>
        <w:t>中小微出口企业到账周期普遍为2-3个月，不能及时回笼资金，抵抗汇率变动风险能力弱。该模式下，出口企业可提前将外贸货款锁汇，有效规避了汇率波动风险。</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sz w:val="32"/>
          <w:szCs w:val="32"/>
        </w:rPr>
      </w:pPr>
      <w:r>
        <w:rPr>
          <w:rFonts w:hint="default" w:ascii="Times New Roman" w:hAnsi="Times New Roman" w:eastAsia="楷体_GB2312" w:cs="Times New Roman"/>
          <w:b/>
          <w:sz w:val="32"/>
          <w:szCs w:val="32"/>
        </w:rPr>
        <w:t>（四）促进了外贸新业态聚集发展。</w:t>
      </w:r>
      <w:r>
        <w:rPr>
          <w:rFonts w:hint="default" w:ascii="Times New Roman" w:hAnsi="Times New Roman" w:eastAsia="仿宋_GB2312" w:cs="Times New Roman"/>
          <w:sz w:val="32"/>
          <w:szCs w:val="32"/>
          <w:lang w:eastAsia="zh-CN"/>
        </w:rPr>
        <w:t>该模式提高了企业资金周转率，</w:t>
      </w:r>
      <w:r>
        <w:rPr>
          <w:rFonts w:hint="default" w:ascii="Times New Roman" w:hAnsi="Times New Roman" w:eastAsia="仿宋_GB2312" w:cs="Times New Roman"/>
          <w:sz w:val="32"/>
          <w:szCs w:val="32"/>
        </w:rPr>
        <w:t>有利于中小</w:t>
      </w:r>
      <w:r>
        <w:rPr>
          <w:rFonts w:hint="default" w:ascii="Times New Roman" w:hAnsi="Times New Roman" w:eastAsia="仿宋_GB2312" w:cs="Times New Roman"/>
          <w:sz w:val="32"/>
          <w:szCs w:val="32"/>
          <w:lang w:eastAsia="zh-CN"/>
        </w:rPr>
        <w:t>微</w:t>
      </w:r>
      <w:r>
        <w:rPr>
          <w:rFonts w:hint="default" w:ascii="Times New Roman" w:hAnsi="Times New Roman" w:eastAsia="仿宋_GB2312" w:cs="Times New Roman"/>
          <w:sz w:val="32"/>
          <w:szCs w:val="32"/>
        </w:rPr>
        <w:t>出口企业开展国际贸易</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拓展海外市场</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试点以来，吸引了数百家企业到自贸试验区开展国际保理与跨境电商业务，推动外贸新业态加速聚集融合、联动发展。</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三、下一步工作思路</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下一步，</w:t>
      </w:r>
      <w:r>
        <w:rPr>
          <w:rFonts w:hint="default" w:ascii="Times New Roman" w:hAnsi="Times New Roman" w:eastAsia="仿宋_GB2312" w:cs="Times New Roman"/>
          <w:bCs/>
          <w:sz w:val="32"/>
          <w:szCs w:val="32"/>
        </w:rPr>
        <w:t>陕西自贸试验区</w:t>
      </w:r>
      <w:r>
        <w:rPr>
          <w:rFonts w:hint="default" w:ascii="Times New Roman" w:hAnsi="Times New Roman" w:eastAsia="仿宋_GB2312" w:cs="Times New Roman"/>
          <w:bCs/>
          <w:sz w:val="32"/>
          <w:szCs w:val="32"/>
          <w:lang w:eastAsia="zh-CN"/>
        </w:rPr>
        <w:t>西安</w:t>
      </w:r>
      <w:r>
        <w:rPr>
          <w:rFonts w:hint="default" w:ascii="Times New Roman" w:hAnsi="Times New Roman" w:eastAsia="仿宋_GB2312" w:cs="Times New Roman"/>
          <w:sz w:val="32"/>
          <w:szCs w:val="32"/>
          <w:lang w:eastAsia="zh-CN"/>
        </w:rPr>
        <w:t>经开区功能区将</w:t>
      </w:r>
      <w:r>
        <w:rPr>
          <w:rFonts w:hint="default" w:ascii="Times New Roman" w:hAnsi="Times New Roman" w:eastAsia="仿宋_GB2312" w:cs="Times New Roman"/>
          <w:sz w:val="32"/>
          <w:szCs w:val="32"/>
        </w:rPr>
        <w:t>认真贯彻落实习近平总书记来陕</w:t>
      </w:r>
      <w:r>
        <w:rPr>
          <w:rFonts w:hint="default" w:ascii="Times New Roman" w:hAnsi="Times New Roman" w:eastAsia="仿宋_GB2312" w:cs="Times New Roman"/>
          <w:sz w:val="32"/>
          <w:szCs w:val="32"/>
          <w:lang w:eastAsia="zh-CN"/>
        </w:rPr>
        <w:t>考察</w:t>
      </w:r>
      <w:r>
        <w:rPr>
          <w:rFonts w:hint="default" w:ascii="Times New Roman" w:hAnsi="Times New Roman" w:eastAsia="仿宋_GB2312" w:cs="Times New Roman"/>
          <w:sz w:val="32"/>
          <w:szCs w:val="32"/>
        </w:rPr>
        <w:t>的重要</w:t>
      </w:r>
      <w:r>
        <w:rPr>
          <w:rFonts w:hint="default" w:ascii="Times New Roman" w:hAnsi="Times New Roman" w:eastAsia="仿宋_GB2312" w:cs="Times New Roman"/>
          <w:sz w:val="32"/>
          <w:szCs w:val="32"/>
          <w:lang w:eastAsia="zh-CN"/>
        </w:rPr>
        <w:t>讲话重要</w:t>
      </w:r>
      <w:r>
        <w:rPr>
          <w:rFonts w:hint="default" w:ascii="Times New Roman" w:hAnsi="Times New Roman" w:eastAsia="仿宋_GB2312" w:cs="Times New Roman"/>
          <w:sz w:val="32"/>
          <w:szCs w:val="32"/>
        </w:rPr>
        <w:t>指示精神，充分发挥自贸试验区</w:t>
      </w:r>
      <w:r>
        <w:rPr>
          <w:rFonts w:hint="default" w:ascii="Times New Roman" w:hAnsi="Times New Roman" w:eastAsia="仿宋_GB2312" w:cs="Times New Roman"/>
          <w:sz w:val="32"/>
          <w:szCs w:val="32"/>
          <w:lang w:eastAsia="zh-CN"/>
        </w:rPr>
        <w:t>先行先试</w:t>
      </w:r>
      <w:r>
        <w:rPr>
          <w:rFonts w:hint="default" w:ascii="Times New Roman" w:hAnsi="Times New Roman" w:eastAsia="仿宋_GB2312" w:cs="Times New Roman"/>
          <w:sz w:val="32"/>
          <w:szCs w:val="32"/>
        </w:rPr>
        <w:t>作用，在美元融资试点经验基础上，进一步扩大业务规模，推动商业保理行业多币种的外币融资</w:t>
      </w:r>
      <w:r>
        <w:rPr>
          <w:rFonts w:hint="default" w:ascii="Times New Roman" w:hAnsi="Times New Roman" w:eastAsia="仿宋_GB2312" w:cs="Times New Roman"/>
          <w:sz w:val="32"/>
          <w:szCs w:val="32"/>
          <w:lang w:eastAsia="zh-CN"/>
        </w:rPr>
        <w:t>业务发展</w:t>
      </w:r>
      <w:r>
        <w:rPr>
          <w:rFonts w:hint="default" w:ascii="Times New Roman" w:hAnsi="Times New Roman" w:eastAsia="仿宋_GB2312" w:cs="Times New Roman"/>
          <w:sz w:val="32"/>
          <w:szCs w:val="32"/>
        </w:rPr>
        <w:t>，探索形成国际保理行业创新发展的新路径、新模式</w:t>
      </w:r>
      <w:r>
        <w:rPr>
          <w:rFonts w:hint="default" w:ascii="Times New Roman" w:hAnsi="Times New Roman" w:eastAsia="仿宋_GB2312" w:cs="Times New Roman"/>
          <w:sz w:val="32"/>
          <w:szCs w:val="32"/>
          <w:lang w:eastAsia="zh-CN"/>
        </w:rPr>
        <w:t>，更好地支持外贸企业“走出去”。</w:t>
      </w:r>
    </w:p>
    <w:p>
      <w:pPr>
        <w:pStyle w:val="5"/>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Times New Roman" w:hAnsi="Times New Roman" w:eastAsia="仿宋_GB2312" w:cs="Times New Roman"/>
          <w:sz w:val="32"/>
          <w:szCs w:val="32"/>
          <w:lang w:eastAsia="zh-CN"/>
        </w:rPr>
      </w:pPr>
    </w:p>
    <w:p>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jc w:val="center"/>
        <w:textAlignment w:val="auto"/>
        <w:rPr>
          <w:rStyle w:val="20"/>
          <w:rFonts w:hint="default" w:ascii="Times New Roman" w:hAnsi="Times New Roman" w:eastAsia="宋体" w:cs="Times New Roman"/>
          <w:b/>
          <w:bCs/>
          <w:sz w:val="36"/>
          <w:szCs w:val="36"/>
          <w:lang w:val="en-US" w:eastAsia="zh-CN"/>
        </w:rPr>
      </w:pPr>
    </w:p>
    <w:p>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jc w:val="both"/>
        <w:textAlignment w:val="auto"/>
        <w:rPr>
          <w:rStyle w:val="20"/>
          <w:rFonts w:hint="default" w:ascii="Times New Roman" w:hAnsi="Times New Roman" w:eastAsia="宋体" w:cs="Times New Roman"/>
          <w:b/>
          <w:bCs/>
          <w:sz w:val="36"/>
          <w:szCs w:val="36"/>
          <w:lang w:val="en-US" w:eastAsia="zh-CN"/>
        </w:rPr>
      </w:pPr>
    </w:p>
    <w:p>
      <w:pPr>
        <w:pStyle w:val="5"/>
        <w:rPr>
          <w:rFonts w:hint="default" w:ascii="Times New Roman" w:hAnsi="Times New Roman" w:cs="Times New Roman"/>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both"/>
        <w:textAlignment w:val="auto"/>
        <w:rPr>
          <w:rStyle w:val="20"/>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both"/>
        <w:textAlignment w:val="auto"/>
        <w:rPr>
          <w:rStyle w:val="20"/>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both"/>
        <w:textAlignment w:val="auto"/>
        <w:rPr>
          <w:rStyle w:val="20"/>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both"/>
        <w:textAlignment w:val="auto"/>
        <w:rPr>
          <w:rStyle w:val="20"/>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both"/>
        <w:textAlignment w:val="auto"/>
        <w:rPr>
          <w:rStyle w:val="20"/>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both"/>
        <w:textAlignment w:val="auto"/>
        <w:rPr>
          <w:rStyle w:val="20"/>
          <w:rFonts w:hint="default" w:ascii="Times New Roman" w:hAnsi="Times New Roman" w:eastAsia="黑体" w:cs="Times New Roman"/>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both"/>
        <w:textAlignment w:val="auto"/>
        <w:rPr>
          <w:rStyle w:val="20"/>
          <w:rFonts w:hint="default" w:ascii="Times New Roman" w:hAnsi="Times New Roman" w:eastAsia="黑体" w:cs="Times New Roman"/>
          <w:b w:val="0"/>
          <w:bCs w:val="0"/>
          <w:sz w:val="32"/>
          <w:szCs w:val="32"/>
          <w:lang w:val="en-US" w:eastAsia="zh-CN"/>
        </w:rPr>
      </w:pPr>
    </w:p>
    <w:p>
      <w:pPr>
        <w:rPr>
          <w:rStyle w:val="20"/>
          <w:rFonts w:hint="default" w:ascii="Times New Roman" w:hAnsi="Times New Roman" w:eastAsia="黑体" w:cs="Times New Roman"/>
          <w:b w:val="0"/>
          <w:bCs w:val="0"/>
          <w:sz w:val="32"/>
          <w:szCs w:val="32"/>
          <w:lang w:val="en-US" w:eastAsia="zh-CN"/>
        </w:rPr>
      </w:pPr>
      <w:r>
        <w:rPr>
          <w:rStyle w:val="20"/>
          <w:rFonts w:hint="default" w:ascii="Times New Roman" w:hAnsi="Times New Roman" w:eastAsia="黑体" w:cs="Times New Roman"/>
          <w:b w:val="0"/>
          <w:bCs w:val="0"/>
          <w:sz w:val="32"/>
          <w:szCs w:val="32"/>
          <w:lang w:val="en-US" w:eastAsia="zh-CN"/>
        </w:rPr>
        <w:br w:type="page"/>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both"/>
        <w:textAlignment w:val="auto"/>
        <w:rPr>
          <w:rStyle w:val="20"/>
          <w:rFonts w:hint="default" w:ascii="Times New Roman" w:hAnsi="Times New Roman" w:eastAsia="黑体" w:cs="Times New Roman"/>
          <w:b w:val="0"/>
          <w:bCs w:val="0"/>
          <w:sz w:val="32"/>
          <w:szCs w:val="32"/>
          <w:lang w:val="en-US" w:eastAsia="zh-CN"/>
        </w:rPr>
      </w:pPr>
      <w:r>
        <w:rPr>
          <w:rStyle w:val="20"/>
          <w:rFonts w:hint="default" w:ascii="Times New Roman" w:hAnsi="Times New Roman" w:eastAsia="黑体" w:cs="Times New Roman"/>
          <w:b w:val="0"/>
          <w:bCs w:val="0"/>
          <w:sz w:val="32"/>
          <w:szCs w:val="32"/>
          <w:lang w:val="en-US" w:eastAsia="zh-CN"/>
        </w:rPr>
        <w:t>案例6</w:t>
      </w:r>
    </w:p>
    <w:p>
      <w:pPr>
        <w:pStyle w:val="19"/>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44"/>
          <w:lang w:eastAsia="zh-CN"/>
        </w:rPr>
      </w:pPr>
      <w:r>
        <w:rPr>
          <w:rFonts w:hint="default" w:ascii="Times New Roman" w:hAnsi="Times New Roman" w:eastAsia="方正小标宋简体" w:cs="Times New Roman"/>
          <w:sz w:val="44"/>
          <w:szCs w:val="44"/>
          <w:lang w:eastAsia="zh-CN"/>
        </w:rPr>
        <w:t>“水电气暖”综窗集成服务模式</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bCs/>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为解决“水电气暖”各项业务办理分散和信息重复申报的问题，</w:t>
      </w:r>
      <w:r>
        <w:rPr>
          <w:rFonts w:hint="default" w:ascii="Times New Roman" w:hAnsi="Times New Roman" w:eastAsia="仿宋_GB2312" w:cs="Times New Roman"/>
          <w:color w:val="000000"/>
          <w:sz w:val="32"/>
          <w:szCs w:val="32"/>
          <w:lang w:eastAsia="zh-CN"/>
        </w:rPr>
        <w:t>陕西自贸试验区</w:t>
      </w:r>
      <w:r>
        <w:rPr>
          <w:rFonts w:hint="default" w:ascii="Times New Roman" w:hAnsi="Times New Roman" w:eastAsia="仿宋_GB2312" w:cs="Times New Roman"/>
          <w:color w:val="000000"/>
          <w:sz w:val="32"/>
          <w:szCs w:val="32"/>
        </w:rPr>
        <w:t>西安浐灞</w:t>
      </w:r>
      <w:r>
        <w:rPr>
          <w:rFonts w:hint="default" w:ascii="Times New Roman" w:hAnsi="Times New Roman" w:eastAsia="仿宋_GB2312" w:cs="Times New Roman"/>
          <w:color w:val="000000"/>
          <w:sz w:val="32"/>
          <w:szCs w:val="32"/>
          <w:lang w:eastAsia="zh-CN"/>
        </w:rPr>
        <w:t>生态区</w:t>
      </w:r>
      <w:r>
        <w:rPr>
          <w:rFonts w:hint="default" w:ascii="Times New Roman" w:hAnsi="Times New Roman" w:eastAsia="仿宋_GB2312" w:cs="Times New Roman"/>
          <w:color w:val="000000"/>
          <w:sz w:val="32"/>
          <w:szCs w:val="32"/>
        </w:rPr>
        <w:t>功能区</w:t>
      </w:r>
      <w:r>
        <w:rPr>
          <w:rFonts w:hint="default" w:ascii="Times New Roman" w:hAnsi="Times New Roman" w:eastAsia="仿宋_GB2312" w:cs="Times New Roman"/>
          <w:color w:val="000000"/>
          <w:sz w:val="32"/>
          <w:szCs w:val="32"/>
          <w:lang w:eastAsia="zh-CN"/>
        </w:rPr>
        <w:t>对</w:t>
      </w:r>
      <w:r>
        <w:rPr>
          <w:rFonts w:hint="default" w:ascii="Times New Roman" w:hAnsi="Times New Roman" w:eastAsia="仿宋_GB2312" w:cs="Times New Roman"/>
          <w:color w:val="000000"/>
          <w:sz w:val="32"/>
          <w:szCs w:val="32"/>
        </w:rPr>
        <w:t>水、电、气、暖报装事项审批流程</w:t>
      </w:r>
      <w:r>
        <w:rPr>
          <w:rFonts w:hint="default" w:ascii="Times New Roman" w:hAnsi="Times New Roman" w:eastAsia="仿宋_GB2312" w:cs="Times New Roman"/>
          <w:color w:val="000000"/>
          <w:sz w:val="32"/>
          <w:szCs w:val="32"/>
          <w:lang w:eastAsia="zh-CN"/>
        </w:rPr>
        <w:t>进行优化</w:t>
      </w:r>
      <w:r>
        <w:rPr>
          <w:rFonts w:hint="default" w:ascii="Times New Roman" w:hAnsi="Times New Roman" w:eastAsia="仿宋_GB2312" w:cs="Times New Roman"/>
          <w:color w:val="000000"/>
          <w:sz w:val="32"/>
          <w:szCs w:val="32"/>
        </w:rPr>
        <w:t>再造，</w:t>
      </w:r>
      <w:r>
        <w:rPr>
          <w:rFonts w:hint="default" w:ascii="Times New Roman" w:hAnsi="Times New Roman" w:eastAsia="仿宋_GB2312" w:cs="Times New Roman"/>
          <w:color w:val="000000"/>
          <w:sz w:val="32"/>
          <w:szCs w:val="32"/>
          <w:lang w:eastAsia="zh-CN"/>
        </w:rPr>
        <w:t>将审批权限下放到政务服务中心的</w:t>
      </w:r>
      <w:r>
        <w:rPr>
          <w:rFonts w:hint="default" w:ascii="Times New Roman" w:hAnsi="Times New Roman" w:eastAsia="仿宋_GB2312" w:cs="Times New Roman"/>
          <w:color w:val="000000"/>
          <w:sz w:val="32"/>
          <w:szCs w:val="32"/>
        </w:rPr>
        <w:t>“水电气暖”综窗，</w:t>
      </w:r>
      <w:r>
        <w:rPr>
          <w:rFonts w:hint="default" w:ascii="Times New Roman" w:hAnsi="Times New Roman" w:eastAsia="仿宋_GB2312" w:cs="Times New Roman"/>
          <w:color w:val="000000"/>
          <w:sz w:val="32"/>
          <w:szCs w:val="32"/>
          <w:lang w:eastAsia="zh-CN"/>
        </w:rPr>
        <w:t>实现相关业务当场办结，有效提升</w:t>
      </w:r>
      <w:r>
        <w:rPr>
          <w:rFonts w:hint="default" w:ascii="Times New Roman" w:hAnsi="Times New Roman" w:eastAsia="仿宋_GB2312" w:cs="Times New Roman"/>
          <w:color w:val="000000"/>
          <w:sz w:val="32"/>
          <w:szCs w:val="32"/>
        </w:rPr>
        <w:t>企业群众</w:t>
      </w:r>
      <w:r>
        <w:rPr>
          <w:rFonts w:hint="default" w:ascii="Times New Roman" w:hAnsi="Times New Roman" w:eastAsia="仿宋_GB2312" w:cs="Times New Roman"/>
          <w:color w:val="000000"/>
          <w:sz w:val="32"/>
          <w:szCs w:val="32"/>
          <w:lang w:eastAsia="zh-CN"/>
        </w:rPr>
        <w:t>办事效率和服务满意度</w:t>
      </w:r>
      <w:r>
        <w:rPr>
          <w:rFonts w:hint="default" w:ascii="Times New Roman" w:hAnsi="Times New Roman" w:eastAsia="仿宋_GB2312" w:cs="Times New Roman"/>
          <w:color w:val="000000"/>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一、主要做法</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color w:val="000000"/>
          <w:sz w:val="32"/>
          <w:szCs w:val="32"/>
        </w:rPr>
      </w:pPr>
      <w:r>
        <w:rPr>
          <w:rFonts w:hint="default" w:ascii="Times New Roman" w:hAnsi="Times New Roman" w:eastAsia="楷体_GB2312" w:cs="Times New Roman"/>
          <w:b/>
          <w:bCs/>
          <w:sz w:val="32"/>
          <w:szCs w:val="32"/>
        </w:rPr>
        <w:t>（一）“一窗受理”提供集成服务。</w:t>
      </w:r>
      <w:r>
        <w:rPr>
          <w:rFonts w:hint="default" w:ascii="Times New Roman" w:hAnsi="Times New Roman" w:eastAsia="仿宋_GB2312" w:cs="Times New Roman"/>
          <w:color w:val="000000"/>
          <w:sz w:val="32"/>
          <w:szCs w:val="32"/>
          <w:lang w:eastAsia="zh-CN"/>
        </w:rPr>
        <w:t>将原来分散的</w:t>
      </w:r>
      <w:r>
        <w:rPr>
          <w:rFonts w:hint="default" w:ascii="Times New Roman" w:hAnsi="Times New Roman" w:eastAsia="仿宋_GB2312" w:cs="Times New Roman"/>
          <w:color w:val="000000"/>
          <w:sz w:val="32"/>
          <w:szCs w:val="32"/>
        </w:rPr>
        <w:t>“自来水”“供电”</w:t>
      </w:r>
      <w:r>
        <w:rPr>
          <w:rFonts w:hint="default" w:ascii="Times New Roman" w:hAnsi="Times New Roman" w:eastAsia="仿宋_GB2312" w:cs="Times New Roman"/>
          <w:color w:val="000000"/>
          <w:sz w:val="32"/>
          <w:szCs w:val="32"/>
          <w:lang w:eastAsia="zh-CN"/>
        </w:rPr>
        <w:t>“天然气”</w:t>
      </w:r>
      <w:r>
        <w:rPr>
          <w:rFonts w:hint="default" w:ascii="Times New Roman" w:hAnsi="Times New Roman" w:eastAsia="仿宋_GB2312" w:cs="Times New Roman"/>
          <w:color w:val="000000"/>
          <w:sz w:val="32"/>
          <w:szCs w:val="32"/>
        </w:rPr>
        <w:t>“供热”</w:t>
      </w:r>
      <w:r>
        <w:rPr>
          <w:rFonts w:hint="default" w:ascii="Times New Roman" w:hAnsi="Times New Roman" w:eastAsia="仿宋_GB2312" w:cs="Times New Roman"/>
          <w:color w:val="000000"/>
          <w:sz w:val="32"/>
          <w:szCs w:val="32"/>
          <w:lang w:eastAsia="zh-CN"/>
        </w:rPr>
        <w:t>报装</w:t>
      </w:r>
      <w:r>
        <w:rPr>
          <w:rFonts w:hint="default" w:ascii="Times New Roman" w:hAnsi="Times New Roman" w:eastAsia="仿宋_GB2312" w:cs="Times New Roman"/>
          <w:color w:val="000000"/>
          <w:sz w:val="32"/>
          <w:szCs w:val="32"/>
        </w:rPr>
        <w:t>业务整合</w:t>
      </w:r>
      <w:r>
        <w:rPr>
          <w:rFonts w:hint="default" w:ascii="Times New Roman" w:hAnsi="Times New Roman" w:eastAsia="仿宋_GB2312" w:cs="Times New Roman"/>
          <w:color w:val="000000"/>
          <w:sz w:val="32"/>
          <w:szCs w:val="32"/>
          <w:lang w:eastAsia="zh-CN"/>
        </w:rPr>
        <w:t>到一起，</w:t>
      </w:r>
      <w:r>
        <w:rPr>
          <w:rFonts w:hint="default" w:ascii="Times New Roman" w:hAnsi="Times New Roman" w:eastAsia="仿宋_GB2312" w:cs="Times New Roman"/>
          <w:color w:val="000000"/>
          <w:sz w:val="32"/>
          <w:szCs w:val="32"/>
        </w:rPr>
        <w:t>设立“水电气暖”综窗，企业和居民</w:t>
      </w:r>
      <w:r>
        <w:rPr>
          <w:rFonts w:hint="default" w:ascii="Times New Roman" w:hAnsi="Times New Roman" w:eastAsia="仿宋_GB2312" w:cs="Times New Roman"/>
          <w:color w:val="000000"/>
          <w:sz w:val="32"/>
          <w:szCs w:val="32"/>
          <w:lang w:eastAsia="zh-CN"/>
        </w:rPr>
        <w:t>可以</w:t>
      </w:r>
      <w:r>
        <w:rPr>
          <w:rFonts w:hint="default" w:ascii="Times New Roman" w:hAnsi="Times New Roman" w:eastAsia="仿宋_GB2312" w:cs="Times New Roman"/>
          <w:color w:val="000000"/>
          <w:sz w:val="32"/>
          <w:szCs w:val="32"/>
        </w:rPr>
        <w:t>通过一个窗口集成办理</w:t>
      </w:r>
      <w:r>
        <w:rPr>
          <w:rFonts w:hint="default" w:ascii="Times New Roman" w:hAnsi="Times New Roman" w:eastAsia="仿宋_GB2312" w:cs="Times New Roman"/>
          <w:color w:val="000000"/>
          <w:sz w:val="32"/>
          <w:szCs w:val="32"/>
          <w:lang w:eastAsia="zh-CN"/>
        </w:rPr>
        <w:t>相关</w:t>
      </w:r>
      <w:r>
        <w:rPr>
          <w:rFonts w:hint="default" w:ascii="Times New Roman" w:hAnsi="Times New Roman" w:eastAsia="仿宋_GB2312" w:cs="Times New Roman"/>
          <w:color w:val="000000"/>
          <w:sz w:val="32"/>
          <w:szCs w:val="32"/>
        </w:rPr>
        <w:t>服务事项。</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color w:val="000000"/>
          <w:sz w:val="32"/>
          <w:szCs w:val="32"/>
        </w:rPr>
      </w:pPr>
      <w:r>
        <w:rPr>
          <w:rFonts w:hint="default" w:ascii="Times New Roman" w:hAnsi="Times New Roman" w:eastAsia="楷体_GB2312" w:cs="Times New Roman"/>
          <w:b/>
          <w:bCs/>
          <w:sz w:val="32"/>
          <w:szCs w:val="32"/>
        </w:rPr>
        <w:t>（二）“一表总揽”整合申请材料。</w:t>
      </w:r>
      <w:r>
        <w:rPr>
          <w:rFonts w:hint="default" w:ascii="Times New Roman" w:hAnsi="Times New Roman" w:eastAsia="仿宋_GB2312" w:cs="Times New Roman"/>
          <w:color w:val="000000"/>
          <w:sz w:val="32"/>
          <w:szCs w:val="32"/>
        </w:rPr>
        <w:t>将水、电、气、暖报装申请表整合为一张《“水电气暖”综窗报装申请表》，企业和居民</w:t>
      </w:r>
      <w:r>
        <w:rPr>
          <w:rFonts w:hint="default" w:ascii="Times New Roman" w:hAnsi="Times New Roman" w:eastAsia="仿宋_GB2312" w:cs="Times New Roman"/>
          <w:color w:val="000000"/>
          <w:sz w:val="32"/>
          <w:szCs w:val="32"/>
          <w:lang w:eastAsia="zh-CN"/>
        </w:rPr>
        <w:t>可</w:t>
      </w:r>
      <w:r>
        <w:rPr>
          <w:rFonts w:hint="default" w:ascii="Times New Roman" w:hAnsi="Times New Roman" w:eastAsia="仿宋_GB2312" w:cs="Times New Roman"/>
          <w:color w:val="000000"/>
          <w:sz w:val="32"/>
          <w:szCs w:val="32"/>
        </w:rPr>
        <w:t>一次性提交水、电、气、暖所有报装信息。</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color w:val="000000"/>
          <w:sz w:val="32"/>
          <w:szCs w:val="32"/>
        </w:rPr>
      </w:pPr>
      <w:r>
        <w:rPr>
          <w:rFonts w:hint="default" w:ascii="Times New Roman" w:hAnsi="Times New Roman" w:eastAsia="楷体_GB2312" w:cs="Times New Roman"/>
          <w:b/>
          <w:bCs/>
          <w:sz w:val="32"/>
          <w:szCs w:val="32"/>
        </w:rPr>
        <w:t>（三）</w:t>
      </w:r>
      <w:r>
        <w:rPr>
          <w:rFonts w:hint="default" w:ascii="Times New Roman" w:hAnsi="Times New Roman" w:eastAsia="楷体_GB2312" w:cs="Times New Roman"/>
          <w:b/>
          <w:bCs/>
          <w:sz w:val="32"/>
          <w:szCs w:val="32"/>
          <w:lang w:eastAsia="zh-CN"/>
        </w:rPr>
        <w:t>“一次办结”</w:t>
      </w:r>
      <w:r>
        <w:rPr>
          <w:rFonts w:hint="default" w:ascii="Times New Roman" w:hAnsi="Times New Roman" w:eastAsia="楷体_GB2312" w:cs="Times New Roman"/>
          <w:b/>
          <w:bCs/>
          <w:sz w:val="32"/>
          <w:szCs w:val="32"/>
        </w:rPr>
        <w:t>提升办事效率。</w:t>
      </w:r>
      <w:r>
        <w:rPr>
          <w:rFonts w:hint="default" w:ascii="Times New Roman" w:hAnsi="Times New Roman" w:eastAsia="仿宋_GB2312" w:cs="Times New Roman"/>
          <w:color w:val="000000"/>
          <w:sz w:val="32"/>
          <w:szCs w:val="32"/>
        </w:rPr>
        <w:t>制定统一办理流程和审核标准，授权由</w:t>
      </w:r>
      <w:r>
        <w:rPr>
          <w:rFonts w:hint="default" w:ascii="Times New Roman" w:hAnsi="Times New Roman" w:eastAsia="仿宋_GB2312" w:cs="Times New Roman"/>
          <w:color w:val="000000"/>
          <w:sz w:val="32"/>
          <w:szCs w:val="32"/>
          <w:lang w:eastAsia="zh-CN"/>
        </w:rPr>
        <w:t>政务服务中心</w:t>
      </w:r>
      <w:r>
        <w:rPr>
          <w:rFonts w:hint="default" w:ascii="Times New Roman" w:hAnsi="Times New Roman" w:eastAsia="仿宋_GB2312" w:cs="Times New Roman"/>
          <w:color w:val="000000"/>
          <w:sz w:val="32"/>
          <w:szCs w:val="32"/>
        </w:rPr>
        <w:t>直接进行审批</w:t>
      </w:r>
      <w:r>
        <w:rPr>
          <w:rFonts w:hint="default" w:ascii="Times New Roman" w:hAnsi="Times New Roman" w:eastAsia="仿宋_GB2312" w:cs="Times New Roman"/>
          <w:color w:val="000000"/>
          <w:sz w:val="32"/>
          <w:szCs w:val="32"/>
          <w:lang w:eastAsia="zh-CN"/>
        </w:rPr>
        <w:t>，当场反馈审批结果</w:t>
      </w:r>
      <w:r>
        <w:rPr>
          <w:rFonts w:hint="default" w:ascii="Times New Roman" w:hAnsi="Times New Roman" w:eastAsia="仿宋_GB2312" w:cs="Times New Roman"/>
          <w:color w:val="000000"/>
          <w:sz w:val="32"/>
          <w:szCs w:val="32"/>
        </w:rPr>
        <w:t>，</w:t>
      </w:r>
      <w:r>
        <w:rPr>
          <w:rFonts w:hint="default" w:ascii="Times New Roman" w:hAnsi="Times New Roman" w:eastAsia="仿宋_GB2312" w:cs="Times New Roman"/>
          <w:color w:val="000000"/>
          <w:sz w:val="32"/>
          <w:szCs w:val="32"/>
          <w:lang w:eastAsia="zh-CN"/>
        </w:rPr>
        <w:t>企业和居民可一次性办结报装事项</w:t>
      </w:r>
      <w:r>
        <w:rPr>
          <w:rFonts w:hint="default" w:ascii="Times New Roman" w:hAnsi="Times New Roman" w:eastAsia="仿宋_GB2312" w:cs="Times New Roman"/>
          <w:color w:val="000000"/>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rPr>
        <w:t>二、</w:t>
      </w:r>
      <w:r>
        <w:rPr>
          <w:rFonts w:hint="default" w:ascii="Times New Roman" w:hAnsi="Times New Roman" w:eastAsia="黑体" w:cs="Times New Roman"/>
          <w:sz w:val="32"/>
          <w:szCs w:val="32"/>
          <w:lang w:eastAsia="zh-CN"/>
        </w:rPr>
        <w:t>实践效果</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 w:cs="Times New Roman"/>
          <w:color w:val="000000"/>
          <w:sz w:val="32"/>
          <w:szCs w:val="32"/>
        </w:rPr>
      </w:pPr>
      <w:r>
        <w:rPr>
          <w:rFonts w:hint="default" w:ascii="Times New Roman" w:hAnsi="Times New Roman" w:eastAsia="仿宋_GB2312" w:cs="Times New Roman"/>
          <w:color w:val="000000"/>
          <w:sz w:val="32"/>
          <w:szCs w:val="32"/>
        </w:rPr>
        <w:t>“水电气暖”综窗集成服务模式</w:t>
      </w:r>
      <w:r>
        <w:rPr>
          <w:rFonts w:hint="default" w:ascii="Times New Roman" w:hAnsi="Times New Roman" w:eastAsia="仿宋_GB2312" w:cs="Times New Roman"/>
          <w:color w:val="000000"/>
          <w:sz w:val="32"/>
          <w:szCs w:val="32"/>
          <w:lang w:eastAsia="zh-CN"/>
        </w:rPr>
        <w:t>实行后</w:t>
      </w:r>
      <w:r>
        <w:rPr>
          <w:rFonts w:hint="default" w:ascii="Times New Roman" w:hAnsi="Times New Roman" w:eastAsia="仿宋_GB2312" w:cs="Times New Roman"/>
          <w:color w:val="000000"/>
          <w:sz w:val="32"/>
          <w:szCs w:val="32"/>
        </w:rPr>
        <w:t>，报装申报资料由原来的32项精简至15项，办理时间由原来的7天以上缩减为</w:t>
      </w:r>
      <w:r>
        <w:rPr>
          <w:rFonts w:hint="default" w:ascii="Times New Roman" w:hAnsi="Times New Roman" w:eastAsia="仿宋_GB2312" w:cs="Times New Roman"/>
          <w:color w:val="000000"/>
          <w:sz w:val="32"/>
          <w:szCs w:val="32"/>
          <w:lang w:val="en-US" w:eastAsia="zh-CN"/>
        </w:rPr>
        <w:t>1</w:t>
      </w:r>
      <w:r>
        <w:rPr>
          <w:rFonts w:hint="default" w:ascii="Times New Roman" w:hAnsi="Times New Roman" w:eastAsia="仿宋_GB2312" w:cs="Times New Roman"/>
          <w:color w:val="000000"/>
          <w:sz w:val="32"/>
          <w:szCs w:val="32"/>
          <w:lang w:eastAsia="zh-CN"/>
        </w:rPr>
        <w:t>天，</w:t>
      </w:r>
      <w:r>
        <w:rPr>
          <w:rFonts w:hint="default" w:ascii="Times New Roman" w:hAnsi="Times New Roman" w:eastAsia="仿宋_GB2312" w:cs="Times New Roman"/>
          <w:color w:val="000000"/>
          <w:sz w:val="32"/>
          <w:szCs w:val="32"/>
        </w:rPr>
        <w:t>企业和群众“跑一趟路、进一扇门、填一张表”</w:t>
      </w:r>
      <w:r>
        <w:rPr>
          <w:rFonts w:hint="default" w:ascii="Times New Roman" w:hAnsi="Times New Roman" w:eastAsia="仿宋_GB2312" w:cs="Times New Roman"/>
          <w:color w:val="000000"/>
          <w:sz w:val="32"/>
          <w:szCs w:val="32"/>
          <w:lang w:eastAsia="zh-CN"/>
        </w:rPr>
        <w:t>即可</w:t>
      </w:r>
      <w:r>
        <w:rPr>
          <w:rFonts w:hint="default" w:ascii="Times New Roman" w:hAnsi="Times New Roman" w:eastAsia="仿宋_GB2312" w:cs="Times New Roman"/>
          <w:color w:val="000000"/>
          <w:sz w:val="32"/>
          <w:szCs w:val="32"/>
        </w:rPr>
        <w:t>完成“水电气暖”报装</w:t>
      </w:r>
      <w:r>
        <w:rPr>
          <w:rFonts w:hint="default" w:ascii="Times New Roman" w:hAnsi="Times New Roman" w:eastAsia="仿宋_GB2312" w:cs="Times New Roman"/>
          <w:color w:val="000000"/>
          <w:sz w:val="32"/>
          <w:szCs w:val="32"/>
          <w:lang w:eastAsia="zh-CN"/>
        </w:rPr>
        <w:t>，办事效率显著提升</w:t>
      </w:r>
      <w:r>
        <w:rPr>
          <w:rFonts w:hint="default" w:ascii="Times New Roman" w:hAnsi="Times New Roman" w:eastAsia="仿宋_GB2312" w:cs="Times New Roman"/>
          <w:color w:val="000000"/>
          <w:sz w:val="32"/>
          <w:szCs w:val="32"/>
        </w:rPr>
        <w:t>。</w:t>
      </w:r>
      <w:r>
        <w:rPr>
          <w:rFonts w:hint="default" w:ascii="Times New Roman" w:hAnsi="Times New Roman" w:eastAsia="仿宋_GB2312" w:cs="Times New Roman"/>
          <w:color w:val="000000"/>
          <w:sz w:val="32"/>
          <w:szCs w:val="32"/>
          <w:lang w:eastAsia="zh-CN"/>
        </w:rPr>
        <w:t>同时，</w:t>
      </w:r>
      <w:r>
        <w:rPr>
          <w:rFonts w:hint="default" w:ascii="Times New Roman" w:hAnsi="Times New Roman" w:eastAsia="仿宋_GB2312" w:cs="Times New Roman"/>
          <w:color w:val="000000"/>
          <w:sz w:val="32"/>
          <w:szCs w:val="32"/>
        </w:rPr>
        <w:t>由政务服务中心统一配置工作人员，有效节约了人员、空间和设备设施等行政成本</w:t>
      </w:r>
      <w:r>
        <w:rPr>
          <w:rFonts w:hint="default" w:ascii="Times New Roman" w:hAnsi="Times New Roman" w:eastAsia="仿宋_GB2312" w:cs="Times New Roman"/>
          <w:color w:val="000000"/>
          <w:sz w:val="32"/>
          <w:szCs w:val="32"/>
          <w:lang w:eastAsia="zh-CN"/>
        </w:rPr>
        <w:t>。2020年4月，“水电气暖”综窗集成服务模式被评为西安市2019年度审批服务“十佳”创新案例。</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lang w:eastAsia="zh-CN"/>
        </w:rPr>
        <w:t>三</w:t>
      </w:r>
      <w:r>
        <w:rPr>
          <w:rFonts w:hint="default" w:ascii="Times New Roman" w:hAnsi="Times New Roman" w:eastAsia="黑体" w:cs="Times New Roman"/>
          <w:sz w:val="32"/>
          <w:szCs w:val="32"/>
        </w:rPr>
        <w:t>、下一步工作思路</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color w:val="000000"/>
          <w:sz w:val="32"/>
          <w:szCs w:val="32"/>
          <w:lang w:eastAsia="zh-CN"/>
        </w:rPr>
      </w:pPr>
      <w:r>
        <w:rPr>
          <w:rFonts w:hint="default" w:ascii="Times New Roman" w:hAnsi="Times New Roman" w:eastAsia="仿宋_GB2312" w:cs="Times New Roman"/>
          <w:color w:val="000000"/>
          <w:sz w:val="32"/>
          <w:szCs w:val="32"/>
          <w:lang w:eastAsia="zh-CN"/>
        </w:rPr>
        <w:t>下一步</w:t>
      </w:r>
      <w:r>
        <w:rPr>
          <w:rFonts w:hint="default" w:ascii="Times New Roman" w:hAnsi="Times New Roman" w:eastAsia="仿宋_GB2312" w:cs="Times New Roman"/>
          <w:color w:val="000000"/>
          <w:sz w:val="32"/>
          <w:szCs w:val="32"/>
        </w:rPr>
        <w:t>，</w:t>
      </w:r>
      <w:r>
        <w:rPr>
          <w:rFonts w:hint="default" w:ascii="Times New Roman" w:hAnsi="Times New Roman" w:eastAsia="仿宋_GB2312" w:cs="Times New Roman"/>
          <w:bCs/>
          <w:sz w:val="32"/>
          <w:szCs w:val="32"/>
        </w:rPr>
        <w:t>陕西自贸试验区</w:t>
      </w:r>
      <w:r>
        <w:rPr>
          <w:rFonts w:hint="default" w:ascii="Times New Roman" w:hAnsi="Times New Roman" w:eastAsia="仿宋_GB2312" w:cs="Times New Roman"/>
          <w:color w:val="000000"/>
          <w:sz w:val="32"/>
          <w:szCs w:val="32"/>
          <w:lang w:eastAsia="zh-CN"/>
        </w:rPr>
        <w:t>西安</w:t>
      </w:r>
      <w:r>
        <w:rPr>
          <w:rFonts w:hint="default" w:ascii="Times New Roman" w:hAnsi="Times New Roman" w:eastAsia="仿宋_GB2312" w:cs="Times New Roman"/>
          <w:color w:val="000000"/>
          <w:sz w:val="32"/>
          <w:szCs w:val="32"/>
        </w:rPr>
        <w:t>浐灞</w:t>
      </w:r>
      <w:r>
        <w:rPr>
          <w:rFonts w:hint="default" w:ascii="Times New Roman" w:hAnsi="Times New Roman" w:eastAsia="仿宋_GB2312" w:cs="Times New Roman"/>
          <w:color w:val="000000"/>
          <w:sz w:val="32"/>
          <w:szCs w:val="32"/>
          <w:lang w:eastAsia="zh-CN"/>
        </w:rPr>
        <w:t>生态区</w:t>
      </w:r>
      <w:r>
        <w:rPr>
          <w:rFonts w:hint="default" w:ascii="Times New Roman" w:hAnsi="Times New Roman" w:eastAsia="仿宋_GB2312" w:cs="Times New Roman"/>
          <w:color w:val="000000"/>
          <w:sz w:val="32"/>
          <w:szCs w:val="32"/>
        </w:rPr>
        <w:t>功能区将</w:t>
      </w:r>
      <w:r>
        <w:rPr>
          <w:rFonts w:hint="default" w:ascii="Times New Roman" w:hAnsi="Times New Roman" w:eastAsia="仿宋_GB2312" w:cs="Times New Roman"/>
          <w:color w:val="000000"/>
          <w:sz w:val="32"/>
          <w:szCs w:val="32"/>
          <w:lang w:eastAsia="zh-CN"/>
        </w:rPr>
        <w:t>聚焦市场主体和群众办事创业“堵点”“痛点”,持续优化政务服务，着力提升服务效能，让“放管服”释放更多改革红利，为群众提供最便捷贴心的服务。</w:t>
      </w:r>
    </w:p>
    <w:p>
      <w:pPr>
        <w:pStyle w:val="19"/>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lang w:val="en-US" w:eastAsia="zh-CN"/>
        </w:rPr>
      </w:pPr>
    </w:p>
    <w:p>
      <w:pPr>
        <w:pStyle w:val="19"/>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宋体" w:cs="Times New Roman"/>
          <w:b/>
          <w:sz w:val="36"/>
          <w:szCs w:val="36"/>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黑体" w:cs="Times New Roman"/>
          <w:b w:val="0"/>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黑体" w:cs="Times New Roman"/>
          <w:b w:val="0"/>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黑体" w:cs="Times New Roman"/>
          <w:b w:val="0"/>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黑体" w:cs="Times New Roman"/>
          <w:b w:val="0"/>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黑体" w:cs="Times New Roman"/>
          <w:b w:val="0"/>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黑体" w:cs="Times New Roman"/>
          <w:b w:val="0"/>
          <w:bCs/>
          <w:sz w:val="32"/>
          <w:szCs w:val="32"/>
          <w:lang w:val="en-US" w:eastAsia="zh-CN"/>
        </w:rPr>
      </w:pPr>
    </w:p>
    <w:p>
      <w:pPr>
        <w:pStyle w:val="5"/>
        <w:rPr>
          <w:rFonts w:hint="default" w:ascii="Times New Roman" w:hAnsi="Times New Roman" w:cs="Times New Roman"/>
          <w:lang w:val="en-US" w:eastAsia="zh-CN"/>
        </w:rPr>
      </w:pPr>
    </w:p>
    <w:p>
      <w:pPr>
        <w:rPr>
          <w:rFonts w:hint="default" w:ascii="Times New Roman" w:hAnsi="Times New Roman" w:eastAsia="黑体" w:cs="Times New Roman"/>
          <w:b w:val="0"/>
          <w:bCs/>
          <w:sz w:val="32"/>
          <w:szCs w:val="32"/>
          <w:lang w:val="en-US" w:eastAsia="zh-CN"/>
        </w:rPr>
      </w:pPr>
      <w:r>
        <w:rPr>
          <w:rFonts w:hint="default" w:ascii="Times New Roman" w:hAnsi="Times New Roman" w:eastAsia="黑体" w:cs="Times New Roman"/>
          <w:b w:val="0"/>
          <w:bCs/>
          <w:sz w:val="32"/>
          <w:szCs w:val="32"/>
          <w:lang w:val="en-US" w:eastAsia="zh-CN"/>
        </w:rPr>
        <w:br w:type="page"/>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黑体" w:cs="Times New Roman"/>
          <w:b w:val="0"/>
          <w:bCs/>
          <w:sz w:val="32"/>
          <w:szCs w:val="32"/>
          <w:lang w:val="en-US" w:eastAsia="zh-CN"/>
        </w:rPr>
      </w:pPr>
      <w:r>
        <w:rPr>
          <w:rFonts w:hint="default" w:ascii="Times New Roman" w:hAnsi="Times New Roman" w:eastAsia="黑体" w:cs="Times New Roman"/>
          <w:b w:val="0"/>
          <w:bCs/>
          <w:sz w:val="32"/>
          <w:szCs w:val="32"/>
          <w:lang w:val="en-US" w:eastAsia="zh-CN"/>
        </w:rPr>
        <w:t>案例7</w:t>
      </w:r>
    </w:p>
    <w:p>
      <w:pPr>
        <w:pStyle w:val="5"/>
        <w:rPr>
          <w:rFonts w:hint="default" w:ascii="Times New Roman" w:hAnsi="Times New Roman" w:cs="Times New Roman"/>
          <w:lang w:val="en-US" w:eastAsia="zh-CN"/>
        </w:rPr>
      </w:pPr>
    </w:p>
    <w:p>
      <w:pPr>
        <w:keepNext/>
        <w:keepLines/>
        <w:pageBreakBefore w:val="0"/>
        <w:widowControl/>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简体" w:cs="Times New Roman"/>
          <w:b w:val="0"/>
          <w:bCs/>
          <w:color w:val="000000"/>
          <w:kern w:val="0"/>
          <w:sz w:val="44"/>
          <w:szCs w:val="44"/>
          <w:lang w:val="en-US" w:eastAsia="zh-CN"/>
        </w:rPr>
      </w:pPr>
      <w:r>
        <w:rPr>
          <w:rFonts w:hint="default" w:ascii="Times New Roman" w:hAnsi="Times New Roman" w:eastAsia="方正小标宋简体" w:cs="Times New Roman"/>
          <w:b w:val="0"/>
          <w:bCs/>
          <w:color w:val="000000"/>
          <w:kern w:val="0"/>
          <w:sz w:val="44"/>
          <w:szCs w:val="44"/>
          <w:lang w:val="en-GB"/>
        </w:rPr>
        <w:t>“互联网+进口快件”监管</w:t>
      </w:r>
      <w:r>
        <w:rPr>
          <w:rFonts w:hint="default" w:ascii="Times New Roman" w:hAnsi="Times New Roman" w:eastAsia="方正小标宋简体" w:cs="Times New Roman"/>
          <w:b w:val="0"/>
          <w:bCs/>
          <w:color w:val="000000"/>
          <w:kern w:val="0"/>
          <w:sz w:val="44"/>
          <w:szCs w:val="44"/>
          <w:lang w:val="en-GB" w:eastAsia="zh-CN"/>
        </w:rPr>
        <w:t>新</w:t>
      </w:r>
      <w:r>
        <w:rPr>
          <w:rFonts w:hint="default" w:ascii="Times New Roman" w:hAnsi="Times New Roman" w:eastAsia="方正小标宋简体" w:cs="Times New Roman"/>
          <w:b w:val="0"/>
          <w:bCs/>
          <w:color w:val="000000"/>
          <w:kern w:val="0"/>
          <w:sz w:val="44"/>
          <w:szCs w:val="44"/>
          <w:lang w:val="en-GB"/>
        </w:rPr>
        <w:t>模式</w:t>
      </w:r>
    </w:p>
    <w:p>
      <w:pPr>
        <w:pageBreakBefore w:val="0"/>
        <w:widowControl/>
        <w:kinsoku/>
        <w:wordWrap/>
        <w:overflowPunct/>
        <w:topLinePunct w:val="0"/>
        <w:autoSpaceDE/>
        <w:autoSpaceDN/>
        <w:bidi w:val="0"/>
        <w:adjustRightInd/>
        <w:snapToGrid/>
        <w:spacing w:line="560" w:lineRule="exact"/>
        <w:ind w:firstLine="645"/>
        <w:textAlignment w:val="auto"/>
        <w:rPr>
          <w:rFonts w:hint="default" w:ascii="Times New Roman"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outlineLvl w:val="1"/>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陕西自贸试验区西咸新区空港新城功能区</w:t>
      </w:r>
      <w:r>
        <w:rPr>
          <w:rFonts w:hint="default" w:ascii="Times New Roman" w:hAnsi="Times New Roman" w:eastAsia="仿宋_GB2312" w:cs="Times New Roman"/>
          <w:sz w:val="32"/>
          <w:szCs w:val="32"/>
        </w:rPr>
        <w:t>为</w:t>
      </w:r>
      <w:r>
        <w:rPr>
          <w:rFonts w:hint="default" w:ascii="Times New Roman" w:hAnsi="Times New Roman" w:eastAsia="仿宋_GB2312" w:cs="Times New Roman"/>
          <w:sz w:val="32"/>
          <w:szCs w:val="32"/>
          <w:lang w:val="en-US" w:eastAsia="zh-CN"/>
        </w:rPr>
        <w:t>打造内陆地区效率高、成本低、服务优的国际贸易通道，联合西安机场海关围绕进口快件业务，持续开展监管模式创新，全面提高通关监管效能，助力空港新城打造国际先进的快件集疏运中心，更好服务全面开放国家战略。</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outlineLvl w:val="1"/>
        <w:rPr>
          <w:rFonts w:hint="default" w:ascii="Times New Roman" w:hAnsi="Times New Roman" w:eastAsia="黑体" w:cs="Times New Roman"/>
          <w:b w:val="0"/>
          <w:bCs/>
          <w:color w:val="000000"/>
          <w:kern w:val="0"/>
          <w:sz w:val="32"/>
          <w:szCs w:val="32"/>
          <w:lang w:val="en-GB"/>
        </w:rPr>
      </w:pPr>
      <w:r>
        <w:rPr>
          <w:rFonts w:hint="default" w:ascii="Times New Roman" w:hAnsi="Times New Roman" w:eastAsia="黑体" w:cs="Times New Roman"/>
          <w:b w:val="0"/>
          <w:bCs/>
          <w:color w:val="000000"/>
          <w:kern w:val="0"/>
          <w:sz w:val="32"/>
          <w:szCs w:val="32"/>
          <w:lang w:val="en-GB"/>
        </w:rPr>
        <w:t>一、主要做法</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b w:val="0"/>
          <w:bCs w:val="0"/>
          <w:color w:val="auto"/>
          <w:kern w:val="0"/>
          <w:sz w:val="32"/>
          <w:szCs w:val="32"/>
          <w:lang w:val="en-US" w:eastAsia="zh-CN"/>
        </w:rPr>
      </w:pPr>
      <w:r>
        <w:rPr>
          <w:rFonts w:hint="default" w:ascii="Times New Roman" w:hAnsi="Times New Roman" w:eastAsia="楷体_GB2312" w:cs="Times New Roman"/>
          <w:b/>
          <w:bCs/>
          <w:kern w:val="0"/>
          <w:sz w:val="32"/>
          <w:lang w:val="en-GB"/>
        </w:rPr>
        <w:t>（一）</w:t>
      </w:r>
      <w:r>
        <w:rPr>
          <w:rFonts w:hint="default" w:ascii="Times New Roman" w:hAnsi="Times New Roman" w:eastAsia="楷体_GB2312" w:cs="Times New Roman"/>
          <w:b/>
          <w:bCs/>
          <w:kern w:val="0"/>
          <w:sz w:val="32"/>
          <w:lang w:val="en-US" w:eastAsia="zh-CN"/>
        </w:rPr>
        <w:t>强化海关前端申报监管。</w:t>
      </w:r>
      <w:r>
        <w:rPr>
          <w:rFonts w:hint="default" w:ascii="Times New Roman" w:hAnsi="Times New Roman" w:eastAsia="仿宋_GB2312" w:cs="Times New Roman"/>
          <w:b w:val="0"/>
          <w:bCs w:val="0"/>
          <w:kern w:val="0"/>
          <w:sz w:val="32"/>
          <w:lang w:val="en-US" w:eastAsia="zh-CN"/>
        </w:rPr>
        <w:t>按照国际快件通关规则，由国际物流公司承运的国际快件进入国境后首先要由货代公司将货品信息清单、三证信息（收货人身份证正反面、购物小票、电子面单截图）向海关申报，经海关对比信息无误通过查验后方能提货。为</w:t>
      </w:r>
      <w:r>
        <w:rPr>
          <w:rFonts w:hint="default" w:ascii="Times New Roman" w:hAnsi="Times New Roman" w:eastAsia="仿宋_GB2312" w:cs="Times New Roman"/>
          <w:b w:val="0"/>
          <w:bCs w:val="0"/>
          <w:color w:val="auto"/>
          <w:kern w:val="0"/>
          <w:sz w:val="32"/>
          <w:szCs w:val="32"/>
          <w:lang w:val="en-US" w:eastAsia="zh-CN"/>
        </w:rPr>
        <w:t>全面提高海关前端监管效能，</w:t>
      </w:r>
      <w:r>
        <w:rPr>
          <w:rFonts w:hint="default" w:ascii="Times New Roman" w:hAnsi="Times New Roman" w:eastAsia="仿宋_GB2312" w:cs="Times New Roman"/>
          <w:b w:val="0"/>
          <w:bCs w:val="0"/>
          <w:kern w:val="0"/>
          <w:sz w:val="32"/>
          <w:lang w:val="en-US" w:eastAsia="zh-CN"/>
        </w:rPr>
        <w:t>空港新城功能区搭建审单通关新系统，实施一体化录入并与海关电子口岸申报系统联通，实现货物三证信息的双系统自动核查、在线出具核验表、海关</w:t>
      </w:r>
      <w:r>
        <w:rPr>
          <w:rFonts w:hint="default" w:ascii="Times New Roman" w:hAnsi="Times New Roman" w:eastAsia="仿宋_GB2312" w:cs="Times New Roman"/>
          <w:b w:val="0"/>
          <w:bCs w:val="0"/>
          <w:color w:val="auto"/>
          <w:kern w:val="0"/>
          <w:sz w:val="32"/>
          <w:lang w:val="en-US" w:eastAsia="zh-CN"/>
        </w:rPr>
        <w:t>快速审单与有效监管，全面提升海关前端精准监管和口岸贸易便利化水平</w:t>
      </w:r>
      <w:r>
        <w:rPr>
          <w:rFonts w:hint="default" w:ascii="Times New Roman" w:hAnsi="Times New Roman" w:eastAsia="仿宋_GB2312" w:cs="Times New Roman"/>
          <w:b w:val="0"/>
          <w:bCs w:val="0"/>
          <w:color w:val="auto"/>
          <w:kern w:val="0"/>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b w:val="0"/>
          <w:bCs w:val="0"/>
          <w:kern w:val="0"/>
          <w:sz w:val="32"/>
          <w:lang w:val="en-US" w:eastAsia="zh-CN"/>
        </w:rPr>
      </w:pPr>
      <w:r>
        <w:rPr>
          <w:rFonts w:hint="default" w:ascii="Times New Roman" w:hAnsi="Times New Roman" w:eastAsia="楷体_GB2312" w:cs="Times New Roman"/>
          <w:b/>
          <w:bCs/>
          <w:kern w:val="0"/>
          <w:sz w:val="32"/>
          <w:lang w:val="en-GB" w:eastAsia="zh-CN"/>
        </w:rPr>
        <w:t>（</w:t>
      </w:r>
      <w:r>
        <w:rPr>
          <w:rFonts w:hint="default" w:ascii="Times New Roman" w:hAnsi="Times New Roman" w:eastAsia="楷体_GB2312" w:cs="Times New Roman"/>
          <w:b/>
          <w:bCs/>
          <w:kern w:val="0"/>
          <w:sz w:val="32"/>
          <w:lang w:val="en-US" w:eastAsia="zh-CN"/>
        </w:rPr>
        <w:t>二</w:t>
      </w:r>
      <w:r>
        <w:rPr>
          <w:rFonts w:hint="default" w:ascii="Times New Roman" w:hAnsi="Times New Roman" w:eastAsia="楷体_GB2312" w:cs="Times New Roman"/>
          <w:b/>
          <w:bCs/>
          <w:kern w:val="0"/>
          <w:sz w:val="32"/>
          <w:lang w:val="en-GB" w:eastAsia="zh-CN"/>
        </w:rPr>
        <w:t>）</w:t>
      </w:r>
      <w:r>
        <w:rPr>
          <w:rFonts w:hint="default" w:ascii="Times New Roman" w:hAnsi="Times New Roman" w:eastAsia="楷体_GB2312" w:cs="Times New Roman"/>
          <w:b/>
          <w:bCs/>
          <w:kern w:val="0"/>
          <w:sz w:val="32"/>
          <w:lang w:val="en-US" w:eastAsia="zh-CN"/>
        </w:rPr>
        <w:t>推行快件流向</w:t>
      </w:r>
      <w:r>
        <w:rPr>
          <w:rFonts w:hint="default" w:ascii="Times New Roman" w:hAnsi="Times New Roman" w:eastAsia="楷体_GB2312" w:cs="Times New Roman"/>
          <w:b/>
          <w:bCs/>
          <w:kern w:val="0"/>
          <w:sz w:val="32"/>
          <w:lang w:val="en-GB"/>
        </w:rPr>
        <w:t>智慧监管</w:t>
      </w:r>
      <w:r>
        <w:rPr>
          <w:rFonts w:hint="default" w:ascii="Times New Roman" w:hAnsi="Times New Roman" w:eastAsia="楷体_GB2312" w:cs="Times New Roman"/>
          <w:b/>
          <w:bCs/>
          <w:kern w:val="0"/>
          <w:sz w:val="32"/>
          <w:lang w:val="en-GB" w:eastAsia="zh-CN"/>
        </w:rPr>
        <w:t>。</w:t>
      </w:r>
      <w:r>
        <w:rPr>
          <w:rFonts w:hint="default" w:ascii="Times New Roman" w:hAnsi="Times New Roman" w:eastAsia="仿宋_GB2312" w:cs="Times New Roman"/>
          <w:b w:val="0"/>
          <w:bCs w:val="0"/>
          <w:kern w:val="0"/>
          <w:sz w:val="32"/>
          <w:lang w:val="en-US" w:eastAsia="zh-CN"/>
        </w:rPr>
        <w:t>国际快件通关后将由国内物流企业进行转运、分拨，且国际段、国内段物流公司提供的收货人信息必须一致，才能确保海关申报、审查的精准性。为提高国内段监管效能，空港新城功能区以系统融合、数据共享为抓手，开展国际快件集约化、智能化、信息化全流程监管。在分拨过程中，</w:t>
      </w:r>
      <w:r>
        <w:rPr>
          <w:rFonts w:hint="default" w:ascii="Times New Roman" w:hAnsi="Times New Roman" w:eastAsia="仿宋_GB2312" w:cs="Times New Roman"/>
          <w:b w:val="0"/>
          <w:bCs w:val="0"/>
          <w:i w:val="0"/>
          <w:caps w:val="0"/>
          <w:color w:val="auto"/>
          <w:spacing w:val="0"/>
          <w:sz w:val="32"/>
          <w:szCs w:val="32"/>
          <w:shd w:val="clear" w:color="auto" w:fill="FFFFFF"/>
          <w:lang w:val="en-US" w:eastAsia="zh-CN"/>
        </w:rPr>
        <w:t>推行</w:t>
      </w:r>
      <w:r>
        <w:rPr>
          <w:rFonts w:hint="default" w:ascii="Times New Roman" w:hAnsi="Times New Roman" w:eastAsia="仿宋_GB2312" w:cs="Times New Roman"/>
          <w:b w:val="0"/>
          <w:bCs w:val="0"/>
          <w:i w:val="0"/>
          <w:caps w:val="0"/>
          <w:color w:val="auto"/>
          <w:spacing w:val="0"/>
          <w:sz w:val="32"/>
          <w:szCs w:val="32"/>
          <w:shd w:val="clear" w:color="auto" w:fill="FFFFFF"/>
        </w:rPr>
        <w:t>“智能审像”</w:t>
      </w:r>
      <w:r>
        <w:rPr>
          <w:rFonts w:hint="default" w:ascii="Times New Roman" w:hAnsi="Times New Roman" w:eastAsia="仿宋_GB2312" w:cs="Times New Roman"/>
          <w:b w:val="0"/>
          <w:bCs w:val="0"/>
          <w:i w:val="0"/>
          <w:caps w:val="0"/>
          <w:color w:val="auto"/>
          <w:spacing w:val="0"/>
          <w:sz w:val="32"/>
          <w:szCs w:val="32"/>
          <w:shd w:val="clear" w:color="auto" w:fill="FFFFFF"/>
          <w:lang w:eastAsia="zh-CN"/>
        </w:rPr>
        <w:t>，</w:t>
      </w:r>
      <w:r>
        <w:rPr>
          <w:rFonts w:hint="default" w:ascii="Times New Roman" w:hAnsi="Times New Roman" w:eastAsia="仿宋_GB2312" w:cs="Times New Roman"/>
          <w:b w:val="0"/>
          <w:bCs w:val="0"/>
          <w:i w:val="0"/>
          <w:caps w:val="0"/>
          <w:color w:val="auto"/>
          <w:spacing w:val="0"/>
          <w:sz w:val="32"/>
          <w:szCs w:val="32"/>
          <w:shd w:val="clear" w:color="auto" w:fill="FFFFFF"/>
        </w:rPr>
        <w:t>实现过机货物“自动判图、自动报警、</w:t>
      </w:r>
      <w:r>
        <w:rPr>
          <w:rFonts w:hint="default" w:ascii="Times New Roman" w:hAnsi="Times New Roman" w:eastAsia="仿宋_GB2312" w:cs="Times New Roman"/>
          <w:b w:val="0"/>
          <w:bCs w:val="0"/>
          <w:i w:val="0"/>
          <w:caps w:val="0"/>
          <w:color w:val="auto"/>
          <w:spacing w:val="0"/>
          <w:sz w:val="32"/>
          <w:szCs w:val="32"/>
          <w:shd w:val="clear" w:color="auto" w:fill="FFFFFF"/>
          <w:lang w:val="en-US" w:eastAsia="zh-CN"/>
        </w:rPr>
        <w:t>无异常</w:t>
      </w:r>
      <w:r>
        <w:rPr>
          <w:rFonts w:hint="default" w:ascii="Times New Roman" w:hAnsi="Times New Roman" w:eastAsia="仿宋_GB2312" w:cs="Times New Roman"/>
          <w:b w:val="0"/>
          <w:bCs w:val="0"/>
          <w:i w:val="0"/>
          <w:caps w:val="0"/>
          <w:color w:val="auto"/>
          <w:spacing w:val="0"/>
          <w:sz w:val="32"/>
          <w:szCs w:val="32"/>
          <w:shd w:val="clear" w:color="auto" w:fill="FFFFFF"/>
        </w:rPr>
        <w:t>自动</w:t>
      </w:r>
      <w:r>
        <w:rPr>
          <w:rFonts w:hint="default" w:ascii="Times New Roman" w:hAnsi="Times New Roman" w:eastAsia="仿宋_GB2312" w:cs="Times New Roman"/>
          <w:b w:val="0"/>
          <w:bCs w:val="0"/>
          <w:i w:val="0"/>
          <w:caps w:val="0"/>
          <w:color w:val="auto"/>
          <w:spacing w:val="0"/>
          <w:sz w:val="32"/>
          <w:szCs w:val="32"/>
          <w:shd w:val="clear" w:color="auto" w:fill="FFFFFF"/>
          <w:lang w:val="en-US" w:eastAsia="zh-CN"/>
        </w:rPr>
        <w:t>放行</w:t>
      </w:r>
      <w:r>
        <w:rPr>
          <w:rFonts w:hint="default" w:ascii="Times New Roman" w:hAnsi="Times New Roman" w:eastAsia="仿宋_GB2312" w:cs="Times New Roman"/>
          <w:b w:val="0"/>
          <w:bCs w:val="0"/>
          <w:i w:val="0"/>
          <w:caps w:val="0"/>
          <w:color w:val="auto"/>
          <w:spacing w:val="0"/>
          <w:sz w:val="32"/>
          <w:szCs w:val="32"/>
          <w:shd w:val="clear" w:color="auto" w:fill="FFFFFF"/>
        </w:rPr>
        <w:t>”</w:t>
      </w:r>
      <w:r>
        <w:rPr>
          <w:rFonts w:hint="default" w:ascii="Times New Roman" w:hAnsi="Times New Roman" w:eastAsia="仿宋_GB2312" w:cs="Times New Roman"/>
          <w:b w:val="0"/>
          <w:bCs w:val="0"/>
          <w:i w:val="0"/>
          <w:caps w:val="0"/>
          <w:color w:val="auto"/>
          <w:spacing w:val="0"/>
          <w:sz w:val="32"/>
          <w:szCs w:val="32"/>
          <w:shd w:val="clear" w:color="auto" w:fill="FFFFFF"/>
          <w:lang w:eastAsia="zh-CN"/>
        </w:rPr>
        <w:t>。</w:t>
      </w:r>
      <w:r>
        <w:rPr>
          <w:rFonts w:hint="default" w:ascii="Times New Roman" w:hAnsi="Times New Roman" w:eastAsia="仿宋_GB2312" w:cs="Times New Roman"/>
          <w:b w:val="0"/>
          <w:bCs w:val="0"/>
          <w:kern w:val="0"/>
          <w:sz w:val="32"/>
          <w:lang w:val="en-US" w:eastAsia="zh-CN"/>
        </w:rPr>
        <w:t>海关系统无缝对接国际快件国内段承运人物流服务查询系统，对通关申报信息、货物流向、实际收件人等信息进行碰撞核对，以验真通关申报信息是否一致，分析承运人业务差错率，甄别虚假申报等违规行为。</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kern w:val="0"/>
          <w:sz w:val="32"/>
          <w:lang w:val="en-US" w:eastAsia="zh-CN"/>
        </w:rPr>
      </w:pPr>
      <w:r>
        <w:rPr>
          <w:rFonts w:hint="default" w:ascii="Times New Roman" w:hAnsi="Times New Roman" w:eastAsia="楷体_GB2312" w:cs="Times New Roman"/>
          <w:b/>
          <w:bCs/>
          <w:kern w:val="0"/>
          <w:sz w:val="32"/>
          <w:lang w:val="en-GB" w:eastAsia="zh-CN"/>
        </w:rPr>
        <w:t>（</w:t>
      </w:r>
      <w:r>
        <w:rPr>
          <w:rFonts w:hint="default" w:ascii="Times New Roman" w:hAnsi="Times New Roman" w:eastAsia="楷体_GB2312" w:cs="Times New Roman"/>
          <w:b/>
          <w:bCs/>
          <w:kern w:val="0"/>
          <w:sz w:val="32"/>
          <w:lang w:val="en-US" w:eastAsia="zh-CN"/>
        </w:rPr>
        <w:t>三</w:t>
      </w:r>
      <w:r>
        <w:rPr>
          <w:rFonts w:hint="default" w:ascii="Times New Roman" w:hAnsi="Times New Roman" w:eastAsia="楷体_GB2312" w:cs="Times New Roman"/>
          <w:b/>
          <w:bCs/>
          <w:kern w:val="0"/>
          <w:sz w:val="32"/>
          <w:lang w:val="en-GB" w:eastAsia="zh-CN"/>
        </w:rPr>
        <w:t>）</w:t>
      </w:r>
      <w:r>
        <w:rPr>
          <w:rFonts w:hint="default" w:ascii="Times New Roman" w:hAnsi="Times New Roman" w:eastAsia="楷体_GB2312" w:cs="Times New Roman"/>
          <w:b/>
          <w:bCs/>
          <w:kern w:val="0"/>
          <w:sz w:val="32"/>
          <w:lang w:val="en-US" w:eastAsia="zh-CN"/>
        </w:rPr>
        <w:t>实施信用风险等级监管。</w:t>
      </w:r>
      <w:r>
        <w:rPr>
          <w:rFonts w:hint="default" w:ascii="Times New Roman" w:hAnsi="Times New Roman" w:eastAsia="仿宋_GB2312" w:cs="Times New Roman"/>
          <w:kern w:val="0"/>
          <w:sz w:val="32"/>
          <w:lang w:val="en-US" w:eastAsia="zh-CN"/>
        </w:rPr>
        <w:t>结合智慧监管数据碰撞核对结果，以虚假申报率、差错率为核心指标，并联动市场监督等部门提供的企业基础信用数据，对承运人及申报人展开信用风险等级评价。对风险等级低的承运人，减少抽查取样频次或在一定周期内实施免检，对于风险等级高的承运人，则及时下发警示单或实施行政处罚。对申报人实施黑名单制度，如一年内累计3次申报信息不一致，则纳入黑名单。</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outlineLvl w:val="1"/>
        <w:rPr>
          <w:rFonts w:hint="default" w:ascii="Times New Roman" w:hAnsi="Times New Roman" w:eastAsia="黑体" w:cs="Times New Roman"/>
          <w:b w:val="0"/>
          <w:bCs/>
          <w:color w:val="000000"/>
          <w:kern w:val="0"/>
          <w:sz w:val="32"/>
          <w:szCs w:val="32"/>
          <w:lang w:val="en-US" w:eastAsia="zh-CN"/>
        </w:rPr>
      </w:pPr>
      <w:r>
        <w:rPr>
          <w:rFonts w:hint="default" w:ascii="Times New Roman" w:hAnsi="Times New Roman" w:eastAsia="黑体" w:cs="Times New Roman"/>
          <w:b w:val="0"/>
          <w:bCs/>
          <w:color w:val="000000"/>
          <w:kern w:val="0"/>
          <w:sz w:val="32"/>
          <w:szCs w:val="32"/>
          <w:lang w:val="en-GB"/>
        </w:rPr>
        <w:t>二、</w:t>
      </w:r>
      <w:r>
        <w:rPr>
          <w:rFonts w:hint="default" w:ascii="Times New Roman" w:hAnsi="Times New Roman" w:eastAsia="黑体" w:cs="Times New Roman"/>
          <w:b w:val="0"/>
          <w:bCs/>
          <w:color w:val="000000"/>
          <w:kern w:val="0"/>
          <w:sz w:val="32"/>
          <w:szCs w:val="32"/>
          <w:lang w:val="en-US" w:eastAsia="zh-CN"/>
        </w:rPr>
        <w:t>实践效果</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b w:val="0"/>
          <w:bCs w:val="0"/>
          <w:kern w:val="0"/>
          <w:sz w:val="32"/>
          <w:lang w:val="en-US" w:eastAsia="zh-CN"/>
        </w:rPr>
      </w:pPr>
      <w:r>
        <w:rPr>
          <w:rFonts w:hint="default" w:ascii="Times New Roman" w:hAnsi="Times New Roman" w:eastAsia="楷体" w:cs="Times New Roman"/>
          <w:b/>
          <w:bCs/>
          <w:kern w:val="0"/>
          <w:sz w:val="32"/>
          <w:lang w:val="en-US" w:eastAsia="zh-CN"/>
        </w:rPr>
        <w:t>（一）快件通关效率大幅提升。</w:t>
      </w:r>
      <w:r>
        <w:rPr>
          <w:rFonts w:hint="default" w:ascii="Times New Roman" w:hAnsi="Times New Roman" w:eastAsia="仿宋_GB2312" w:cs="Times New Roman"/>
          <w:b w:val="0"/>
          <w:bCs w:val="0"/>
          <w:kern w:val="0"/>
          <w:sz w:val="32"/>
          <w:lang w:val="en-US" w:eastAsia="zh-CN"/>
        </w:rPr>
        <w:t>通过三证一体录入与海关直审、申运同步等改革，空港新城功能区国际快件的通关审验效率较原先提升了30%，实现了国际快件“当日到货，当日清关审验，当日转运配送”。当前，国际快件最快仅用6秒钟便可完成清关审验，通关便利化大幅提升。</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b w:val="0"/>
          <w:bCs w:val="0"/>
          <w:kern w:val="0"/>
          <w:sz w:val="32"/>
          <w:lang w:val="en-US" w:eastAsia="zh-CN"/>
        </w:rPr>
      </w:pPr>
      <w:r>
        <w:rPr>
          <w:rFonts w:hint="default" w:ascii="Times New Roman" w:hAnsi="Times New Roman" w:eastAsia="楷体" w:cs="Times New Roman"/>
          <w:b/>
          <w:bCs/>
          <w:kern w:val="0"/>
          <w:sz w:val="32"/>
          <w:lang w:val="en-US" w:eastAsia="zh-CN"/>
        </w:rPr>
        <w:t>（二）承运人差错率显著降低。</w:t>
      </w:r>
      <w:r>
        <w:rPr>
          <w:rFonts w:hint="default" w:ascii="Times New Roman" w:hAnsi="Times New Roman" w:eastAsia="仿宋_GB2312" w:cs="Times New Roman"/>
          <w:b w:val="0"/>
          <w:bCs w:val="0"/>
          <w:kern w:val="0"/>
          <w:sz w:val="32"/>
          <w:lang w:val="en-US" w:eastAsia="zh-CN"/>
        </w:rPr>
        <w:t>通过对快件承运人和国内收货人物流信息碰撞核查，实现了国际快件的全流程监控、申报信息的自动验真，确保了真实交易信息可溯源，有效杜绝了虚假申报，降低了承运人差错率。今年以来，空港新城功能区已对10万余件国际快件信息进行核验，没有出现一起虚假及违规申报、承运人差错率仅为0.03‰。</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kern w:val="0"/>
          <w:sz w:val="32"/>
          <w:lang w:val="en-US" w:eastAsia="zh-CN"/>
        </w:rPr>
      </w:pPr>
      <w:r>
        <w:rPr>
          <w:rFonts w:hint="default" w:ascii="Times New Roman" w:hAnsi="Times New Roman" w:eastAsia="楷体" w:cs="Times New Roman"/>
          <w:b/>
          <w:bCs/>
          <w:kern w:val="0"/>
          <w:sz w:val="32"/>
          <w:lang w:val="en-US" w:eastAsia="zh-CN"/>
        </w:rPr>
        <w:t>（三）信用监管效应逐步释放。</w:t>
      </w:r>
      <w:r>
        <w:rPr>
          <w:rFonts w:hint="default" w:ascii="Times New Roman" w:hAnsi="Times New Roman" w:eastAsia="仿宋_GB2312" w:cs="Times New Roman"/>
          <w:kern w:val="0"/>
          <w:sz w:val="32"/>
          <w:lang w:val="en-US" w:eastAsia="zh-CN"/>
        </w:rPr>
        <w:t>探索的信用风险等级机制及少检、免检等措施，极大提高了驻场承运人合法合规经营意识，无一起虚假申报事件出现。从目前来看，国际快件90%的国际承运人和国内承运人信用等级均达到了优秀，监管中心对于各优秀承运人的检查频率逐步降低，极大提高了监管效率，并带动了国际快件的快速发展。</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outlineLvl w:val="1"/>
        <w:rPr>
          <w:rFonts w:hint="default" w:ascii="Times New Roman" w:hAnsi="Times New Roman" w:eastAsia="黑体" w:cs="Times New Roman"/>
          <w:b w:val="0"/>
          <w:bCs/>
          <w:color w:val="000000"/>
          <w:kern w:val="0"/>
          <w:sz w:val="32"/>
          <w:szCs w:val="32"/>
          <w:lang w:val="en-GB"/>
        </w:rPr>
      </w:pPr>
      <w:r>
        <w:rPr>
          <w:rFonts w:hint="default" w:ascii="Times New Roman" w:hAnsi="Times New Roman" w:eastAsia="黑体" w:cs="Times New Roman"/>
          <w:b w:val="0"/>
          <w:bCs/>
          <w:color w:val="000000"/>
          <w:kern w:val="0"/>
          <w:sz w:val="32"/>
          <w:szCs w:val="32"/>
          <w:lang w:val="en-GB"/>
        </w:rPr>
        <w:t>三、下一步工作思路</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b w:val="0"/>
          <w:bCs w:val="0"/>
          <w:color w:val="auto"/>
          <w:kern w:val="0"/>
          <w:sz w:val="32"/>
          <w:szCs w:val="32"/>
          <w:lang w:val="en-US" w:eastAsia="zh-CN"/>
        </w:rPr>
      </w:pPr>
      <w:r>
        <w:rPr>
          <w:rFonts w:hint="default" w:ascii="Times New Roman" w:hAnsi="Times New Roman" w:eastAsia="仿宋_GB2312" w:cs="Times New Roman"/>
          <w:kern w:val="0"/>
          <w:sz w:val="32"/>
          <w:lang w:val="en-GB"/>
        </w:rPr>
        <w:t>下一步，</w:t>
      </w:r>
      <w:r>
        <w:rPr>
          <w:rFonts w:hint="default" w:ascii="Times New Roman" w:hAnsi="Times New Roman" w:eastAsia="仿宋_GB2312" w:cs="Times New Roman"/>
          <w:bCs/>
          <w:sz w:val="32"/>
          <w:szCs w:val="32"/>
        </w:rPr>
        <w:t>陕西自贸试验区</w:t>
      </w:r>
      <w:r>
        <w:rPr>
          <w:rFonts w:hint="default" w:ascii="Times New Roman" w:hAnsi="Times New Roman" w:eastAsia="仿宋_GB2312" w:cs="Times New Roman"/>
          <w:bCs/>
          <w:sz w:val="32"/>
          <w:szCs w:val="32"/>
          <w:lang w:eastAsia="zh-CN"/>
        </w:rPr>
        <w:t>西咸新区</w:t>
      </w:r>
      <w:r>
        <w:rPr>
          <w:rFonts w:hint="default" w:ascii="Times New Roman" w:hAnsi="Times New Roman" w:eastAsia="仿宋_GB2312" w:cs="Times New Roman"/>
          <w:kern w:val="0"/>
          <w:sz w:val="32"/>
          <w:lang w:val="en-US" w:eastAsia="zh-CN"/>
        </w:rPr>
        <w:t>空港新城功能区</w:t>
      </w:r>
      <w:r>
        <w:rPr>
          <w:rFonts w:hint="default" w:ascii="Times New Roman" w:hAnsi="Times New Roman" w:eastAsia="仿宋_GB2312" w:cs="Times New Roman"/>
          <w:kern w:val="0"/>
          <w:sz w:val="32"/>
          <w:lang w:val="en-GB"/>
        </w:rPr>
        <w:t>将</w:t>
      </w:r>
      <w:r>
        <w:rPr>
          <w:rFonts w:hint="default" w:ascii="Times New Roman" w:hAnsi="Times New Roman" w:eastAsia="仿宋_GB2312" w:cs="Times New Roman"/>
          <w:kern w:val="0"/>
          <w:sz w:val="32"/>
          <w:lang w:val="en-US" w:eastAsia="zh-CN"/>
        </w:rPr>
        <w:t>把握临空经济区和跨境电商综合试验区建设机遇，持续提升通关审验效率，加速</w:t>
      </w:r>
      <w:r>
        <w:rPr>
          <w:rFonts w:hint="default" w:ascii="Times New Roman" w:hAnsi="Times New Roman" w:eastAsia="仿宋_GB2312" w:cs="Times New Roman"/>
          <w:b w:val="0"/>
          <w:bCs w:val="0"/>
          <w:color w:val="auto"/>
          <w:kern w:val="0"/>
          <w:sz w:val="32"/>
          <w:szCs w:val="32"/>
          <w:lang w:val="en-US" w:eastAsia="zh-CN"/>
        </w:rPr>
        <w:t>全流程信息验核可溯化、风险自动化提示、快件监管智能化，</w:t>
      </w:r>
      <w:r>
        <w:rPr>
          <w:rFonts w:hint="default" w:ascii="Times New Roman" w:hAnsi="Times New Roman" w:eastAsia="仿宋_GB2312" w:cs="Times New Roman"/>
          <w:kern w:val="0"/>
          <w:sz w:val="32"/>
          <w:lang w:val="en-US" w:eastAsia="zh-CN"/>
        </w:rPr>
        <w:t>打造全国</w:t>
      </w:r>
      <w:r>
        <w:rPr>
          <w:rFonts w:hint="default" w:ascii="Times New Roman" w:hAnsi="Times New Roman" w:eastAsia="仿宋_GB2312" w:cs="Times New Roman"/>
          <w:kern w:val="0"/>
          <w:sz w:val="32"/>
          <w:lang w:val="en-GB"/>
        </w:rPr>
        <w:t>一流的</w:t>
      </w:r>
      <w:r>
        <w:rPr>
          <w:rFonts w:hint="default" w:ascii="Times New Roman" w:hAnsi="Times New Roman" w:eastAsia="仿宋_GB2312" w:cs="Times New Roman"/>
          <w:kern w:val="0"/>
          <w:sz w:val="32"/>
          <w:lang w:val="en-US" w:eastAsia="zh-CN"/>
        </w:rPr>
        <w:t>国际快件监管中心</w:t>
      </w:r>
      <w:r>
        <w:rPr>
          <w:rFonts w:hint="default" w:ascii="Times New Roman" w:hAnsi="Times New Roman" w:eastAsia="仿宋_GB2312" w:cs="Times New Roman"/>
          <w:kern w:val="0"/>
          <w:sz w:val="32"/>
          <w:lang w:val="en-GB"/>
        </w:rPr>
        <w:t>，</w:t>
      </w:r>
      <w:r>
        <w:rPr>
          <w:rFonts w:hint="default" w:ascii="Times New Roman" w:hAnsi="Times New Roman" w:eastAsia="仿宋_GB2312" w:cs="Times New Roman"/>
          <w:kern w:val="0"/>
          <w:sz w:val="32"/>
          <w:lang w:val="en-US" w:eastAsia="zh-CN"/>
        </w:rPr>
        <w:t>助力陕西开放新高地建设</w:t>
      </w:r>
      <w:r>
        <w:rPr>
          <w:rFonts w:hint="default" w:ascii="Times New Roman" w:hAnsi="Times New Roman" w:eastAsia="仿宋_GB2312" w:cs="Times New Roman"/>
          <w:kern w:val="0"/>
          <w:sz w:val="32"/>
          <w:lang w:val="en-GB"/>
        </w:rPr>
        <w:t>。</w:t>
      </w:r>
    </w:p>
    <w:p>
      <w:pPr>
        <w:pStyle w:val="5"/>
        <w:pageBreakBefore w:val="0"/>
        <w:kinsoku/>
        <w:wordWrap/>
        <w:overflowPunct/>
        <w:topLinePunct w:val="0"/>
        <w:autoSpaceDE/>
        <w:autoSpaceDN/>
        <w:bidi w:val="0"/>
        <w:adjustRightInd/>
        <w:snapToGrid/>
        <w:spacing w:line="560" w:lineRule="exact"/>
        <w:jc w:val="right"/>
        <w:textAlignment w:val="auto"/>
        <w:rPr>
          <w:rFonts w:hint="default" w:ascii="Times New Roman" w:hAnsi="Times New Roman" w:eastAsia="仿宋_GB2312" w:cs="Times New Roman"/>
          <w:sz w:val="32"/>
          <w:szCs w:val="32"/>
          <w:lang w:val="en-GB" w:eastAsia="zh-CN"/>
        </w:rPr>
      </w:pPr>
    </w:p>
    <w:p>
      <w:pPr>
        <w:keepNext w:val="0"/>
        <w:keepLines w:val="0"/>
        <w:pageBreakBefore w:val="0"/>
        <w:widowControl w:val="0"/>
        <w:kinsoku/>
        <w:wordWrap/>
        <w:overflowPunct/>
        <w:topLinePunct w:val="0"/>
        <w:autoSpaceDE/>
        <w:autoSpaceDN/>
        <w:bidi w:val="0"/>
        <w:snapToGrid/>
        <w:spacing w:line="360" w:lineRule="auto"/>
        <w:jc w:val="center"/>
        <w:textAlignment w:val="auto"/>
        <w:rPr>
          <w:rFonts w:hint="default" w:ascii="Times New Roman" w:hAnsi="Times New Roman" w:eastAsia="宋体" w:cs="Times New Roman"/>
          <w:b/>
          <w:sz w:val="32"/>
          <w:szCs w:val="32"/>
          <w:lang w:val="en-US" w:eastAsia="zh-CN"/>
        </w:rPr>
      </w:pPr>
    </w:p>
    <w:p>
      <w:pPr>
        <w:keepNext w:val="0"/>
        <w:keepLines w:val="0"/>
        <w:pageBreakBefore w:val="0"/>
        <w:widowControl w:val="0"/>
        <w:kinsoku/>
        <w:wordWrap/>
        <w:overflowPunct/>
        <w:topLinePunct w:val="0"/>
        <w:autoSpaceDE/>
        <w:autoSpaceDN/>
        <w:bidi w:val="0"/>
        <w:snapToGrid/>
        <w:spacing w:line="360" w:lineRule="auto"/>
        <w:jc w:val="center"/>
        <w:textAlignment w:val="auto"/>
        <w:rPr>
          <w:rFonts w:hint="default" w:ascii="Times New Roman" w:hAnsi="Times New Roman" w:eastAsia="宋体" w:cs="Times New Roman"/>
          <w:b/>
          <w:sz w:val="36"/>
          <w:szCs w:val="36"/>
          <w:lang w:val="en-US" w:eastAsia="zh-CN"/>
        </w:rPr>
      </w:pPr>
    </w:p>
    <w:p>
      <w:pPr>
        <w:keepNext w:val="0"/>
        <w:keepLines w:val="0"/>
        <w:pageBreakBefore w:val="0"/>
        <w:widowControl w:val="0"/>
        <w:kinsoku/>
        <w:wordWrap/>
        <w:overflowPunct/>
        <w:topLinePunct w:val="0"/>
        <w:autoSpaceDE/>
        <w:autoSpaceDN/>
        <w:bidi w:val="0"/>
        <w:snapToGrid/>
        <w:spacing w:line="360" w:lineRule="auto"/>
        <w:jc w:val="center"/>
        <w:textAlignment w:val="auto"/>
        <w:rPr>
          <w:rFonts w:hint="default" w:ascii="Times New Roman" w:hAnsi="Times New Roman" w:eastAsia="宋体" w:cs="Times New Roman"/>
          <w:b/>
          <w:sz w:val="36"/>
          <w:szCs w:val="36"/>
          <w:lang w:val="en-US" w:eastAsia="zh-CN"/>
        </w:rPr>
      </w:pPr>
    </w:p>
    <w:p>
      <w:pPr>
        <w:keepNext w:val="0"/>
        <w:keepLines w:val="0"/>
        <w:pageBreakBefore w:val="0"/>
        <w:widowControl w:val="0"/>
        <w:kinsoku/>
        <w:wordWrap/>
        <w:overflowPunct/>
        <w:topLinePunct w:val="0"/>
        <w:autoSpaceDE/>
        <w:autoSpaceDN/>
        <w:bidi w:val="0"/>
        <w:snapToGrid/>
        <w:spacing w:line="360" w:lineRule="auto"/>
        <w:jc w:val="center"/>
        <w:textAlignment w:val="auto"/>
        <w:rPr>
          <w:rFonts w:hint="default" w:ascii="Times New Roman" w:hAnsi="Times New Roman" w:eastAsia="宋体" w:cs="Times New Roman"/>
          <w:b/>
          <w:sz w:val="36"/>
          <w:szCs w:val="36"/>
          <w:lang w:val="en-US" w:eastAsia="zh-CN"/>
        </w:rPr>
      </w:pPr>
    </w:p>
    <w:p>
      <w:pPr>
        <w:rPr>
          <w:rStyle w:val="20"/>
          <w:rFonts w:hint="default" w:ascii="Times New Roman" w:hAnsi="Times New Roman" w:eastAsia="黑体" w:cs="Times New Roman"/>
          <w:b w:val="0"/>
          <w:bCs w:val="0"/>
          <w:sz w:val="32"/>
          <w:szCs w:val="32"/>
          <w:lang w:eastAsia="zh-CN"/>
        </w:rPr>
      </w:pPr>
      <w:r>
        <w:rPr>
          <w:rStyle w:val="20"/>
          <w:rFonts w:hint="default" w:ascii="Times New Roman" w:hAnsi="Times New Roman" w:eastAsia="黑体" w:cs="Times New Roman"/>
          <w:b w:val="0"/>
          <w:bCs w:val="0"/>
          <w:sz w:val="32"/>
          <w:szCs w:val="32"/>
          <w:lang w:eastAsia="zh-CN"/>
        </w:rPr>
        <w:br w:type="page"/>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both"/>
        <w:textAlignment w:val="auto"/>
        <w:rPr>
          <w:rStyle w:val="20"/>
          <w:rFonts w:hint="default" w:ascii="Times New Roman" w:hAnsi="Times New Roman" w:eastAsia="黑体" w:cs="Times New Roman"/>
          <w:b w:val="0"/>
          <w:bCs w:val="0"/>
          <w:sz w:val="32"/>
          <w:szCs w:val="32"/>
          <w:lang w:val="en-US" w:eastAsia="zh-CN"/>
        </w:rPr>
      </w:pPr>
      <w:r>
        <w:rPr>
          <w:rStyle w:val="20"/>
          <w:rFonts w:hint="default" w:ascii="Times New Roman" w:hAnsi="Times New Roman" w:eastAsia="黑体" w:cs="Times New Roman"/>
          <w:b w:val="0"/>
          <w:bCs w:val="0"/>
          <w:sz w:val="32"/>
          <w:szCs w:val="32"/>
          <w:lang w:eastAsia="zh-CN"/>
        </w:rPr>
        <w:t>案例</w:t>
      </w:r>
      <w:r>
        <w:rPr>
          <w:rStyle w:val="20"/>
          <w:rFonts w:hint="default" w:ascii="Times New Roman" w:hAnsi="Times New Roman" w:eastAsia="黑体" w:cs="Times New Roman"/>
          <w:b w:val="0"/>
          <w:bCs w:val="0"/>
          <w:sz w:val="32"/>
          <w:szCs w:val="32"/>
          <w:lang w:val="en-US" w:eastAsia="zh-CN"/>
        </w:rPr>
        <w:t>8</w:t>
      </w:r>
    </w:p>
    <w:p>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rPr>
          <w:rStyle w:val="20"/>
          <w:rFonts w:hint="default" w:ascii="Times New Roman" w:hAnsi="Times New Roman" w:eastAsia="方正小标宋简体" w:cs="Times New Roman"/>
          <w:b w:val="0"/>
          <w:bCs w:val="0"/>
          <w:sz w:val="44"/>
          <w:szCs w:val="44"/>
        </w:rPr>
      </w:pPr>
      <w:r>
        <w:rPr>
          <w:rStyle w:val="20"/>
          <w:rFonts w:hint="default" w:ascii="Times New Roman" w:hAnsi="Times New Roman" w:eastAsia="方正小标宋简体" w:cs="Times New Roman"/>
          <w:b w:val="0"/>
          <w:bCs w:val="0"/>
          <w:sz w:val="44"/>
          <w:szCs w:val="44"/>
        </w:rPr>
        <w:t>能源类特色供应链合作平台</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sz w:val="32"/>
          <w:szCs w:val="32"/>
          <w:lang w:eastAsia="zh-CN"/>
        </w:rPr>
      </w:pPr>
    </w:p>
    <w:p>
      <w:pPr>
        <w:keepNext w:val="0"/>
        <w:keepLines w:val="0"/>
        <w:pageBreakBefore w:val="0"/>
        <w:widowControl w:val="0"/>
        <w:kinsoku/>
        <w:wordWrap/>
        <w:overflowPunct/>
        <w:topLinePunct w:val="0"/>
        <w:autoSpaceDE/>
        <w:autoSpaceDN/>
        <w:bidi w:val="0"/>
        <w:adjustRightInd/>
        <w:snapToGrid/>
        <w:spacing w:line="540" w:lineRule="exact"/>
        <w:ind w:firstLine="654" w:firstLineChars="200"/>
        <w:textAlignment w:val="auto"/>
        <w:rPr>
          <w:rStyle w:val="20"/>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陕西自贸试验区西咸新区能源金贸功能区</w:t>
      </w:r>
      <w:r>
        <w:rPr>
          <w:rStyle w:val="20"/>
          <w:rFonts w:hint="default" w:ascii="Times New Roman" w:hAnsi="Times New Roman" w:eastAsia="仿宋_GB2312" w:cs="Times New Roman"/>
          <w:sz w:val="32"/>
          <w:szCs w:val="32"/>
        </w:rPr>
        <w:t>聚焦探索与</w:t>
      </w:r>
      <w:r>
        <w:rPr>
          <w:rStyle w:val="20"/>
          <w:rFonts w:hint="default" w:ascii="Times New Roman" w:hAnsi="Times New Roman" w:eastAsia="仿宋_GB2312" w:cs="Times New Roman"/>
          <w:sz w:val="32"/>
          <w:szCs w:val="32"/>
          <w:lang w:eastAsia="zh-CN"/>
        </w:rPr>
        <w:t>“</w:t>
      </w:r>
      <w:r>
        <w:rPr>
          <w:rStyle w:val="20"/>
          <w:rFonts w:hint="default" w:ascii="Times New Roman" w:hAnsi="Times New Roman" w:eastAsia="仿宋_GB2312" w:cs="Times New Roman"/>
          <w:sz w:val="32"/>
          <w:szCs w:val="32"/>
        </w:rPr>
        <w:t>一带一路</w:t>
      </w:r>
      <w:r>
        <w:rPr>
          <w:rStyle w:val="20"/>
          <w:rFonts w:hint="default" w:ascii="Times New Roman" w:hAnsi="Times New Roman" w:eastAsia="仿宋_GB2312" w:cs="Times New Roman"/>
          <w:sz w:val="32"/>
          <w:szCs w:val="32"/>
          <w:lang w:eastAsia="zh-CN"/>
        </w:rPr>
        <w:t>”</w:t>
      </w:r>
      <w:r>
        <w:rPr>
          <w:rStyle w:val="20"/>
          <w:rFonts w:hint="default" w:ascii="Times New Roman" w:hAnsi="Times New Roman" w:eastAsia="仿宋_GB2312" w:cs="Times New Roman"/>
          <w:sz w:val="32"/>
          <w:szCs w:val="32"/>
        </w:rPr>
        <w:t>沿线国家开展</w:t>
      </w:r>
      <w:r>
        <w:rPr>
          <w:rStyle w:val="20"/>
          <w:rFonts w:hint="default" w:ascii="Times New Roman" w:hAnsi="Times New Roman" w:eastAsia="仿宋_GB2312" w:cs="Times New Roman"/>
          <w:sz w:val="32"/>
          <w:szCs w:val="32"/>
          <w:lang w:eastAsia="zh-CN"/>
        </w:rPr>
        <w:t>能源类服务</w:t>
      </w:r>
      <w:r>
        <w:rPr>
          <w:rStyle w:val="20"/>
          <w:rFonts w:hint="default" w:ascii="Times New Roman" w:hAnsi="Times New Roman" w:eastAsia="仿宋_GB2312" w:cs="Times New Roman"/>
          <w:sz w:val="32"/>
          <w:szCs w:val="32"/>
        </w:rPr>
        <w:t>贸易</w:t>
      </w:r>
      <w:r>
        <w:rPr>
          <w:rStyle w:val="20"/>
          <w:rFonts w:hint="default" w:ascii="Times New Roman" w:hAnsi="Times New Roman" w:eastAsia="仿宋_GB2312" w:cs="Times New Roman"/>
          <w:sz w:val="32"/>
          <w:szCs w:val="32"/>
          <w:lang w:eastAsia="zh-CN"/>
        </w:rPr>
        <w:t>及</w:t>
      </w:r>
      <w:r>
        <w:rPr>
          <w:rStyle w:val="20"/>
          <w:rFonts w:hint="default" w:ascii="Times New Roman" w:hAnsi="Times New Roman" w:eastAsia="仿宋_GB2312" w:cs="Times New Roman"/>
          <w:sz w:val="32"/>
          <w:szCs w:val="32"/>
        </w:rPr>
        <w:t>供应链合作，搭建了</w:t>
      </w:r>
      <w:r>
        <w:rPr>
          <w:rStyle w:val="20"/>
          <w:rFonts w:hint="default" w:ascii="Times New Roman" w:hAnsi="Times New Roman" w:eastAsia="仿宋_GB2312" w:cs="Times New Roman"/>
          <w:sz w:val="32"/>
          <w:szCs w:val="32"/>
          <w:lang w:eastAsia="zh-CN"/>
        </w:rPr>
        <w:t>“</w:t>
      </w:r>
      <w:r>
        <w:rPr>
          <w:rStyle w:val="20"/>
          <w:rFonts w:hint="default" w:ascii="Times New Roman" w:hAnsi="Times New Roman" w:eastAsia="仿宋_GB2312" w:cs="Times New Roman"/>
          <w:sz w:val="32"/>
          <w:szCs w:val="32"/>
        </w:rPr>
        <w:t>一带一路</w:t>
      </w:r>
      <w:r>
        <w:rPr>
          <w:rStyle w:val="20"/>
          <w:rFonts w:hint="default" w:ascii="Times New Roman" w:hAnsi="Times New Roman" w:eastAsia="仿宋_GB2312" w:cs="Times New Roman"/>
          <w:sz w:val="32"/>
          <w:szCs w:val="32"/>
          <w:lang w:eastAsia="zh-CN"/>
        </w:rPr>
        <w:t>”</w:t>
      </w:r>
      <w:r>
        <w:rPr>
          <w:rStyle w:val="20"/>
          <w:rFonts w:hint="default" w:ascii="Times New Roman" w:hAnsi="Times New Roman" w:eastAsia="仿宋_GB2312" w:cs="Times New Roman"/>
          <w:sz w:val="32"/>
          <w:szCs w:val="32"/>
        </w:rPr>
        <w:t>能源类特色供应链合作平台，为企业</w:t>
      </w:r>
      <w:r>
        <w:rPr>
          <w:rStyle w:val="20"/>
          <w:rFonts w:hint="default" w:ascii="Times New Roman" w:hAnsi="Times New Roman" w:eastAsia="仿宋_GB2312" w:cs="Times New Roman"/>
          <w:b w:val="0"/>
          <w:i w:val="0"/>
          <w:sz w:val="32"/>
          <w:szCs w:val="32"/>
          <w:lang w:val="en-US" w:eastAsia="zh-CN"/>
        </w:rPr>
        <w:t>提供</w:t>
      </w:r>
      <w:r>
        <w:rPr>
          <w:rStyle w:val="20"/>
          <w:rFonts w:hint="default" w:ascii="Times New Roman" w:hAnsi="Times New Roman" w:eastAsia="仿宋_GB2312" w:cs="Times New Roman"/>
          <w:sz w:val="32"/>
          <w:szCs w:val="32"/>
        </w:rPr>
        <w:t>国际市场开发、技术合作、设备共享、金融</w:t>
      </w:r>
      <w:r>
        <w:rPr>
          <w:rStyle w:val="20"/>
          <w:rFonts w:hint="default" w:ascii="Times New Roman" w:hAnsi="Times New Roman" w:eastAsia="仿宋_GB2312" w:cs="Times New Roman"/>
          <w:sz w:val="32"/>
          <w:szCs w:val="32"/>
          <w:lang w:eastAsia="zh-CN"/>
        </w:rPr>
        <w:t>支持</w:t>
      </w:r>
      <w:r>
        <w:rPr>
          <w:rStyle w:val="20"/>
          <w:rFonts w:hint="default" w:ascii="Times New Roman" w:hAnsi="Times New Roman" w:eastAsia="仿宋_GB2312" w:cs="Times New Roman"/>
          <w:sz w:val="32"/>
          <w:szCs w:val="32"/>
        </w:rPr>
        <w:t>等多元服务，形成能源国际合作全产业链，为西部地区在更高层面、更大范围和更宽领域参与国际产能合作提供新的空间。</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54" w:firstLineChars="200"/>
        <w:textAlignment w:val="auto"/>
        <w:rPr>
          <w:rStyle w:val="20"/>
          <w:rFonts w:hint="default" w:ascii="Times New Roman" w:hAnsi="Times New Roman" w:eastAsia="黑体" w:cs="Times New Roman"/>
          <w:sz w:val="32"/>
          <w:szCs w:val="32"/>
        </w:rPr>
      </w:pPr>
      <w:r>
        <w:rPr>
          <w:rStyle w:val="20"/>
          <w:rFonts w:hint="default" w:ascii="Times New Roman" w:hAnsi="Times New Roman" w:eastAsia="黑体" w:cs="Times New Roman"/>
          <w:sz w:val="32"/>
          <w:szCs w:val="32"/>
        </w:rPr>
        <w:t>一、主要做法</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54" w:firstLineChars="200"/>
        <w:textAlignment w:val="auto"/>
        <w:rPr>
          <w:rStyle w:val="20"/>
          <w:rFonts w:hint="default" w:ascii="Times New Roman" w:hAnsi="Times New Roman" w:eastAsia="仿宋_GB2312" w:cs="Times New Roman"/>
          <w:sz w:val="32"/>
          <w:szCs w:val="32"/>
        </w:rPr>
      </w:pPr>
      <w:r>
        <w:rPr>
          <w:rStyle w:val="20"/>
          <w:rFonts w:hint="default" w:ascii="Times New Roman" w:hAnsi="Times New Roman" w:eastAsia="楷体_GB2312" w:cs="Times New Roman"/>
          <w:b/>
          <w:bCs/>
          <w:sz w:val="32"/>
          <w:szCs w:val="32"/>
        </w:rPr>
        <w:t>（一）搭建走出去资源共享平台。</w:t>
      </w:r>
      <w:r>
        <w:rPr>
          <w:rStyle w:val="20"/>
          <w:rFonts w:hint="default" w:ascii="Times New Roman" w:hAnsi="Times New Roman" w:eastAsia="仿宋_GB2312" w:cs="Times New Roman"/>
          <w:sz w:val="32"/>
          <w:szCs w:val="32"/>
        </w:rPr>
        <w:t>为加速能源化工类企业出海，破解当前</w:t>
      </w:r>
      <w:r>
        <w:rPr>
          <w:rStyle w:val="20"/>
          <w:rFonts w:hint="default" w:ascii="Times New Roman" w:hAnsi="Times New Roman" w:eastAsia="仿宋_GB2312" w:cs="Times New Roman"/>
          <w:sz w:val="32"/>
          <w:szCs w:val="32"/>
          <w:lang w:eastAsia="zh-CN"/>
        </w:rPr>
        <w:t>企业</w:t>
      </w:r>
      <w:r>
        <w:rPr>
          <w:rStyle w:val="20"/>
          <w:rFonts w:hint="default" w:ascii="Times New Roman" w:hAnsi="Times New Roman" w:eastAsia="仿宋_GB2312" w:cs="Times New Roman"/>
          <w:sz w:val="32"/>
          <w:szCs w:val="32"/>
        </w:rPr>
        <w:t>海外市场拓展、渠道建设过程中资金</w:t>
      </w:r>
      <w:r>
        <w:rPr>
          <w:rStyle w:val="20"/>
          <w:rFonts w:hint="default" w:ascii="Times New Roman" w:hAnsi="Times New Roman" w:eastAsia="仿宋_GB2312" w:cs="Times New Roman"/>
          <w:sz w:val="32"/>
          <w:szCs w:val="32"/>
          <w:lang w:eastAsia="zh-CN"/>
        </w:rPr>
        <w:t>短缺</w:t>
      </w:r>
      <w:r>
        <w:rPr>
          <w:rStyle w:val="20"/>
          <w:rFonts w:hint="default" w:ascii="Times New Roman" w:hAnsi="Times New Roman" w:eastAsia="仿宋_GB2312" w:cs="Times New Roman"/>
          <w:sz w:val="32"/>
          <w:szCs w:val="32"/>
        </w:rPr>
        <w:t>的</w:t>
      </w:r>
      <w:r>
        <w:rPr>
          <w:rStyle w:val="20"/>
          <w:rFonts w:hint="default" w:ascii="Times New Roman" w:hAnsi="Times New Roman" w:eastAsia="仿宋_GB2312" w:cs="Times New Roman"/>
          <w:sz w:val="32"/>
          <w:szCs w:val="32"/>
          <w:lang w:eastAsia="zh-CN"/>
        </w:rPr>
        <w:t>问题</w:t>
      </w:r>
      <w:r>
        <w:rPr>
          <w:rStyle w:val="20"/>
          <w:rFonts w:hint="default" w:ascii="Times New Roman" w:hAnsi="Times New Roman" w:eastAsia="仿宋_GB2312" w:cs="Times New Roman"/>
          <w:sz w:val="32"/>
          <w:szCs w:val="32"/>
        </w:rPr>
        <w:t>，</w:t>
      </w:r>
      <w:r>
        <w:rPr>
          <w:rStyle w:val="20"/>
          <w:rFonts w:hint="default" w:ascii="Times New Roman" w:hAnsi="Times New Roman" w:eastAsia="仿宋_GB2312" w:cs="Times New Roman"/>
          <w:sz w:val="32"/>
          <w:szCs w:val="32"/>
          <w:lang w:eastAsia="zh-CN"/>
        </w:rPr>
        <w:t>能源金贸功能区</w:t>
      </w:r>
      <w:r>
        <w:rPr>
          <w:rStyle w:val="20"/>
          <w:rFonts w:hint="default" w:ascii="Times New Roman" w:hAnsi="Times New Roman" w:eastAsia="仿宋_GB2312" w:cs="Times New Roman"/>
          <w:sz w:val="32"/>
          <w:szCs w:val="32"/>
        </w:rPr>
        <w:t>搭建了</w:t>
      </w:r>
      <w:r>
        <w:rPr>
          <w:rStyle w:val="20"/>
          <w:rFonts w:hint="default" w:ascii="Times New Roman" w:hAnsi="Times New Roman" w:eastAsia="仿宋_GB2312" w:cs="Times New Roman"/>
          <w:sz w:val="32"/>
          <w:szCs w:val="32"/>
          <w:lang w:eastAsia="zh-CN"/>
        </w:rPr>
        <w:t>“</w:t>
      </w:r>
      <w:r>
        <w:rPr>
          <w:rStyle w:val="20"/>
          <w:rFonts w:hint="default" w:ascii="Times New Roman" w:hAnsi="Times New Roman" w:eastAsia="仿宋_GB2312" w:cs="Times New Roman"/>
          <w:sz w:val="32"/>
          <w:szCs w:val="32"/>
        </w:rPr>
        <w:t>一带一路</w:t>
      </w:r>
      <w:r>
        <w:rPr>
          <w:rStyle w:val="20"/>
          <w:rFonts w:hint="default" w:ascii="Times New Roman" w:hAnsi="Times New Roman" w:eastAsia="仿宋_GB2312" w:cs="Times New Roman"/>
          <w:sz w:val="32"/>
          <w:szCs w:val="32"/>
          <w:lang w:eastAsia="zh-CN"/>
        </w:rPr>
        <w:t>”</w:t>
      </w:r>
      <w:r>
        <w:rPr>
          <w:rStyle w:val="20"/>
          <w:rFonts w:hint="default" w:ascii="Times New Roman" w:hAnsi="Times New Roman" w:eastAsia="仿宋_GB2312" w:cs="Times New Roman"/>
          <w:sz w:val="32"/>
          <w:szCs w:val="32"/>
        </w:rPr>
        <w:t>能源类特色供应链合作平台，集聚“项目投资、运管资金、创新研发、生产设备、人力资源、生产互动”等六大共享服务功能，吸引了金融配套、油服处理、整机制造、配件制造、研发机构、衍生产品、智慧管理等</w:t>
      </w:r>
      <w:r>
        <w:rPr>
          <w:rStyle w:val="20"/>
          <w:rFonts w:hint="default" w:ascii="Times New Roman" w:hAnsi="Times New Roman" w:eastAsia="仿宋_GB2312" w:cs="Times New Roman"/>
          <w:sz w:val="32"/>
          <w:szCs w:val="32"/>
          <w:lang w:eastAsia="zh-CN"/>
        </w:rPr>
        <w:t>多种类型</w:t>
      </w:r>
      <w:r>
        <w:rPr>
          <w:rStyle w:val="20"/>
          <w:rFonts w:hint="default" w:ascii="Times New Roman" w:hAnsi="Times New Roman" w:eastAsia="仿宋_GB2312" w:cs="Times New Roman"/>
          <w:sz w:val="32"/>
          <w:szCs w:val="32"/>
        </w:rPr>
        <w:t>企业入驻平台，形成各类服务集成合力，助力能源类核心企业快速走出去。</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54" w:firstLineChars="200"/>
        <w:textAlignment w:val="auto"/>
        <w:rPr>
          <w:rStyle w:val="20"/>
          <w:rFonts w:hint="default" w:ascii="Times New Roman" w:hAnsi="Times New Roman" w:eastAsia="仿宋_GB2312" w:cs="Times New Roman"/>
          <w:sz w:val="32"/>
          <w:szCs w:val="32"/>
        </w:rPr>
      </w:pPr>
      <w:r>
        <w:rPr>
          <w:rStyle w:val="20"/>
          <w:rFonts w:hint="default" w:ascii="Times New Roman" w:hAnsi="Times New Roman" w:eastAsia="楷体_GB2312" w:cs="Times New Roman"/>
          <w:b/>
          <w:bCs/>
          <w:sz w:val="32"/>
          <w:szCs w:val="32"/>
        </w:rPr>
        <w:t>（</w:t>
      </w:r>
      <w:r>
        <w:rPr>
          <w:rStyle w:val="20"/>
          <w:rFonts w:hint="default" w:ascii="Times New Roman" w:hAnsi="Times New Roman" w:eastAsia="楷体_GB2312" w:cs="Times New Roman"/>
          <w:b/>
          <w:bCs/>
          <w:sz w:val="32"/>
          <w:szCs w:val="32"/>
          <w:lang w:eastAsia="zh-CN"/>
        </w:rPr>
        <w:t>二</w:t>
      </w:r>
      <w:r>
        <w:rPr>
          <w:rStyle w:val="20"/>
          <w:rFonts w:hint="default" w:ascii="Times New Roman" w:hAnsi="Times New Roman" w:eastAsia="楷体_GB2312" w:cs="Times New Roman"/>
          <w:b/>
          <w:bCs/>
          <w:sz w:val="32"/>
          <w:szCs w:val="32"/>
        </w:rPr>
        <w:t>）建立供应链协同管理机制。</w:t>
      </w:r>
      <w:r>
        <w:rPr>
          <w:rStyle w:val="20"/>
          <w:rFonts w:hint="default" w:ascii="Times New Roman" w:hAnsi="Times New Roman" w:eastAsia="仿宋_GB2312" w:cs="Times New Roman"/>
          <w:sz w:val="32"/>
          <w:szCs w:val="32"/>
          <w:lang w:eastAsia="zh-CN"/>
        </w:rPr>
        <w:t>平台</w:t>
      </w:r>
      <w:r>
        <w:rPr>
          <w:rStyle w:val="20"/>
          <w:rFonts w:hint="default" w:ascii="Times New Roman" w:hAnsi="Times New Roman" w:eastAsia="仿宋_GB2312" w:cs="Times New Roman"/>
          <w:sz w:val="32"/>
          <w:szCs w:val="32"/>
        </w:rPr>
        <w:t>开发了供应商协同系统、仓储</w:t>
      </w:r>
      <w:r>
        <w:rPr>
          <w:rStyle w:val="20"/>
          <w:rFonts w:hint="default" w:ascii="Times New Roman" w:hAnsi="Times New Roman" w:eastAsia="仿宋_GB2312" w:cs="Times New Roman"/>
          <w:sz w:val="32"/>
          <w:szCs w:val="32"/>
          <w:lang w:eastAsia="zh-CN"/>
        </w:rPr>
        <w:t>协同</w:t>
      </w:r>
      <w:r>
        <w:rPr>
          <w:rStyle w:val="20"/>
          <w:rFonts w:hint="default" w:ascii="Times New Roman" w:hAnsi="Times New Roman" w:eastAsia="仿宋_GB2312" w:cs="Times New Roman"/>
          <w:sz w:val="32"/>
          <w:szCs w:val="32"/>
        </w:rPr>
        <w:t>管理系统、采购协同管理系统、订单交付协同管理系统、物流协同管理系统、供应链融资服务系统、产品追溯管理系统等，对能源类产业链上下游企业的信息流、要素流、资金流实现集成，确保原材料、中间产品、最终产品的闭环管理，同时，将采购商、制造商、供应商、服务商、用户等有效匹配，实现协同化、一体化的供应链管理新模式，有效降低库存水平</w:t>
      </w:r>
      <w:r>
        <w:rPr>
          <w:rStyle w:val="20"/>
          <w:rFonts w:hint="default" w:ascii="Times New Roman" w:hAnsi="Times New Roman" w:eastAsia="仿宋_GB2312" w:cs="Times New Roman"/>
          <w:sz w:val="32"/>
          <w:szCs w:val="32"/>
          <w:lang w:eastAsia="zh-CN"/>
        </w:rPr>
        <w:t>和</w:t>
      </w:r>
      <w:r>
        <w:rPr>
          <w:rStyle w:val="20"/>
          <w:rFonts w:hint="default" w:ascii="Times New Roman" w:hAnsi="Times New Roman" w:eastAsia="仿宋_GB2312" w:cs="Times New Roman"/>
          <w:sz w:val="32"/>
          <w:szCs w:val="32"/>
        </w:rPr>
        <w:t>企业成本。</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54" w:firstLineChars="200"/>
        <w:textAlignment w:val="auto"/>
        <w:rPr>
          <w:rStyle w:val="20"/>
          <w:rFonts w:hint="default" w:ascii="Times New Roman" w:hAnsi="Times New Roman" w:eastAsia="仿宋_GB2312" w:cs="Times New Roman"/>
          <w:sz w:val="32"/>
          <w:szCs w:val="32"/>
        </w:rPr>
      </w:pPr>
      <w:r>
        <w:rPr>
          <w:rStyle w:val="20"/>
          <w:rFonts w:hint="default" w:ascii="Times New Roman" w:hAnsi="Times New Roman" w:eastAsia="楷体_GB2312" w:cs="Times New Roman"/>
          <w:b/>
          <w:bCs/>
          <w:sz w:val="32"/>
          <w:szCs w:val="32"/>
        </w:rPr>
        <w:t>（</w:t>
      </w:r>
      <w:r>
        <w:rPr>
          <w:rStyle w:val="20"/>
          <w:rFonts w:hint="default" w:ascii="Times New Roman" w:hAnsi="Times New Roman" w:eastAsia="楷体_GB2312" w:cs="Times New Roman"/>
          <w:b/>
          <w:bCs/>
          <w:sz w:val="32"/>
          <w:szCs w:val="32"/>
          <w:lang w:eastAsia="zh-CN"/>
        </w:rPr>
        <w:t>三</w:t>
      </w:r>
      <w:r>
        <w:rPr>
          <w:rStyle w:val="20"/>
          <w:rFonts w:hint="default" w:ascii="Times New Roman" w:hAnsi="Times New Roman" w:eastAsia="楷体_GB2312" w:cs="Times New Roman"/>
          <w:b/>
          <w:bCs/>
          <w:sz w:val="32"/>
          <w:szCs w:val="32"/>
        </w:rPr>
        <w:t>）突出金融与产业协同支撑。</w:t>
      </w:r>
      <w:r>
        <w:rPr>
          <w:rStyle w:val="20"/>
          <w:rFonts w:hint="default" w:ascii="Times New Roman" w:hAnsi="Times New Roman" w:eastAsia="仿宋_GB2312" w:cs="Times New Roman"/>
          <w:b w:val="0"/>
          <w:i w:val="0"/>
          <w:sz w:val="32"/>
          <w:szCs w:val="32"/>
        </w:rPr>
        <w:t>设立规模超1亿元的扶持基金以及2400万专项免息生产引导资金，</w:t>
      </w:r>
      <w:r>
        <w:rPr>
          <w:rStyle w:val="20"/>
          <w:rFonts w:hint="default" w:ascii="Times New Roman" w:hAnsi="Times New Roman" w:eastAsia="仿宋_GB2312" w:cs="Times New Roman"/>
          <w:sz w:val="32"/>
          <w:szCs w:val="32"/>
        </w:rPr>
        <w:t>将订单、融资与监管有效结合，引入银行风控体系，形成管、扶结合的投资体系</w:t>
      </w:r>
      <w:r>
        <w:rPr>
          <w:rStyle w:val="20"/>
          <w:rFonts w:hint="default" w:ascii="Times New Roman" w:hAnsi="Times New Roman" w:eastAsia="仿宋_GB2312" w:cs="Times New Roman"/>
          <w:sz w:val="32"/>
          <w:szCs w:val="32"/>
          <w:lang w:eastAsia="zh-CN"/>
        </w:rPr>
        <w:t>。</w:t>
      </w:r>
      <w:r>
        <w:rPr>
          <w:rStyle w:val="20"/>
          <w:rFonts w:hint="default" w:ascii="Times New Roman" w:hAnsi="Times New Roman" w:eastAsia="仿宋_GB2312" w:cs="Times New Roman"/>
          <w:sz w:val="32"/>
          <w:szCs w:val="32"/>
        </w:rPr>
        <w:t>平台内企业可依托订单，向银行申请低利率的短期融资，在银行对企业生产能力和投资风险等评估后，由平台实施第三方担保，银行为企业提供配资，并推出差异化、低利率的融资产品，满足企业资金需求。</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54" w:firstLineChars="200"/>
        <w:textAlignment w:val="auto"/>
        <w:rPr>
          <w:rStyle w:val="20"/>
          <w:rFonts w:hint="default" w:ascii="Times New Roman" w:hAnsi="Times New Roman" w:eastAsia="仿宋_GB2312" w:cs="Times New Roman"/>
          <w:sz w:val="32"/>
          <w:szCs w:val="32"/>
        </w:rPr>
      </w:pPr>
      <w:r>
        <w:rPr>
          <w:rStyle w:val="20"/>
          <w:rFonts w:hint="default" w:ascii="Times New Roman" w:hAnsi="Times New Roman" w:eastAsia="楷体_GB2312" w:cs="Times New Roman"/>
          <w:b/>
          <w:bCs/>
          <w:sz w:val="32"/>
          <w:szCs w:val="32"/>
        </w:rPr>
        <w:t>（四）</w:t>
      </w:r>
      <w:r>
        <w:rPr>
          <w:rStyle w:val="20"/>
          <w:rFonts w:hint="default" w:ascii="Times New Roman" w:hAnsi="Times New Roman" w:eastAsia="楷体_GB2312" w:cs="Times New Roman"/>
          <w:b/>
          <w:bCs/>
          <w:sz w:val="32"/>
          <w:szCs w:val="32"/>
          <w:lang w:eastAsia="zh-CN"/>
        </w:rPr>
        <w:t>组建联合体开拓海外市场</w:t>
      </w:r>
      <w:r>
        <w:rPr>
          <w:rStyle w:val="20"/>
          <w:rFonts w:hint="default" w:ascii="Times New Roman" w:hAnsi="Times New Roman" w:eastAsia="楷体_GB2312" w:cs="Times New Roman"/>
          <w:b/>
          <w:bCs/>
          <w:sz w:val="32"/>
          <w:szCs w:val="32"/>
        </w:rPr>
        <w:t>。</w:t>
      </w:r>
      <w:r>
        <w:rPr>
          <w:rStyle w:val="20"/>
          <w:rFonts w:hint="default" w:ascii="Times New Roman" w:hAnsi="Times New Roman" w:eastAsia="仿宋_GB2312" w:cs="Times New Roman"/>
          <w:b w:val="0"/>
          <w:bCs/>
          <w:i w:val="0"/>
          <w:sz w:val="32"/>
          <w:szCs w:val="32"/>
          <w:lang w:eastAsia="zh-CN"/>
        </w:rPr>
        <w:t>平台组织</w:t>
      </w:r>
      <w:r>
        <w:rPr>
          <w:rStyle w:val="20"/>
          <w:rFonts w:hint="default" w:ascii="Times New Roman" w:hAnsi="Times New Roman" w:eastAsia="仿宋_GB2312" w:cs="Times New Roman"/>
          <w:b w:val="0"/>
          <w:bCs/>
          <w:i w:val="0"/>
          <w:sz w:val="32"/>
          <w:szCs w:val="32"/>
        </w:rPr>
        <w:t>具备一定生产规模和服务能力的</w:t>
      </w:r>
      <w:r>
        <w:rPr>
          <w:rStyle w:val="20"/>
          <w:rFonts w:hint="default" w:ascii="Times New Roman" w:hAnsi="Times New Roman" w:eastAsia="仿宋_GB2312" w:cs="Times New Roman"/>
          <w:b w:val="0"/>
          <w:bCs/>
          <w:i w:val="0"/>
          <w:sz w:val="32"/>
          <w:szCs w:val="32"/>
          <w:lang w:eastAsia="zh-CN"/>
        </w:rPr>
        <w:t>能源类</w:t>
      </w:r>
      <w:r>
        <w:rPr>
          <w:rStyle w:val="20"/>
          <w:rFonts w:hint="default" w:ascii="Times New Roman" w:hAnsi="Times New Roman" w:eastAsia="仿宋_GB2312" w:cs="Times New Roman"/>
          <w:b w:val="0"/>
          <w:bCs/>
          <w:i w:val="0"/>
          <w:sz w:val="32"/>
          <w:szCs w:val="32"/>
        </w:rPr>
        <w:t>企业组建联合体</w:t>
      </w:r>
      <w:r>
        <w:rPr>
          <w:rStyle w:val="20"/>
          <w:rFonts w:hint="default" w:ascii="Times New Roman" w:hAnsi="Times New Roman" w:eastAsia="仿宋_GB2312" w:cs="Times New Roman"/>
          <w:b w:val="0"/>
          <w:bCs/>
          <w:i w:val="0"/>
          <w:sz w:val="32"/>
          <w:szCs w:val="32"/>
          <w:lang w:eastAsia="zh-CN"/>
        </w:rPr>
        <w:t>，</w:t>
      </w:r>
      <w:r>
        <w:rPr>
          <w:rStyle w:val="20"/>
          <w:rFonts w:hint="default" w:ascii="Times New Roman" w:hAnsi="Times New Roman" w:eastAsia="仿宋_GB2312" w:cs="Times New Roman"/>
          <w:sz w:val="32"/>
          <w:szCs w:val="32"/>
        </w:rPr>
        <w:t>集聚各方优势在“一带一路”沿线国家拓展能源合作项目、能源技术服务、能源贸易、能源投资等市场</w:t>
      </w:r>
      <w:r>
        <w:rPr>
          <w:rStyle w:val="20"/>
          <w:rFonts w:hint="default" w:ascii="Times New Roman" w:hAnsi="Times New Roman" w:eastAsia="仿宋_GB2312" w:cs="Times New Roman"/>
          <w:sz w:val="32"/>
          <w:szCs w:val="32"/>
          <w:lang w:eastAsia="zh-CN"/>
        </w:rPr>
        <w:t>。联合体</w:t>
      </w:r>
      <w:r>
        <w:rPr>
          <w:rStyle w:val="20"/>
          <w:rFonts w:hint="default" w:ascii="Times New Roman" w:hAnsi="Times New Roman" w:eastAsia="仿宋_GB2312" w:cs="Times New Roman"/>
          <w:sz w:val="32"/>
          <w:szCs w:val="32"/>
        </w:rPr>
        <w:t>将承接的海外能源公司大宗成套石油装备采购订单进行合理拆分，</w:t>
      </w:r>
      <w:r>
        <w:rPr>
          <w:rStyle w:val="20"/>
          <w:rFonts w:hint="default" w:ascii="Times New Roman" w:hAnsi="Times New Roman" w:eastAsia="仿宋_GB2312" w:cs="Times New Roman"/>
          <w:sz w:val="32"/>
          <w:szCs w:val="32"/>
          <w:lang w:eastAsia="zh-CN"/>
        </w:rPr>
        <w:t>由联合体中</w:t>
      </w:r>
      <w:r>
        <w:rPr>
          <w:rStyle w:val="20"/>
          <w:rFonts w:hint="default" w:ascii="Times New Roman" w:hAnsi="Times New Roman" w:eastAsia="仿宋_GB2312" w:cs="Times New Roman"/>
          <w:sz w:val="32"/>
          <w:szCs w:val="32"/>
        </w:rPr>
        <w:t>各能源企业</w:t>
      </w:r>
      <w:r>
        <w:rPr>
          <w:rStyle w:val="20"/>
          <w:rFonts w:hint="default" w:ascii="Times New Roman" w:hAnsi="Times New Roman" w:eastAsia="仿宋_GB2312" w:cs="Times New Roman"/>
          <w:sz w:val="32"/>
          <w:szCs w:val="32"/>
          <w:lang w:eastAsia="zh-CN"/>
        </w:rPr>
        <w:t>根据自身实力和需要承接</w:t>
      </w:r>
      <w:r>
        <w:rPr>
          <w:rStyle w:val="20"/>
          <w:rFonts w:hint="default" w:ascii="Times New Roman" w:hAnsi="Times New Roman" w:eastAsia="仿宋_GB2312" w:cs="Times New Roman"/>
          <w:sz w:val="32"/>
          <w:szCs w:val="32"/>
        </w:rPr>
        <w:t>，并</w:t>
      </w:r>
      <w:r>
        <w:rPr>
          <w:rStyle w:val="20"/>
          <w:rFonts w:hint="default" w:ascii="Times New Roman" w:hAnsi="Times New Roman" w:eastAsia="仿宋_GB2312" w:cs="Times New Roman"/>
          <w:sz w:val="32"/>
          <w:szCs w:val="32"/>
          <w:lang w:eastAsia="zh-CN"/>
        </w:rPr>
        <w:t>由平台</w:t>
      </w:r>
      <w:r>
        <w:rPr>
          <w:rStyle w:val="20"/>
          <w:rFonts w:hint="default" w:ascii="Times New Roman" w:hAnsi="Times New Roman" w:eastAsia="仿宋_GB2312" w:cs="Times New Roman"/>
          <w:sz w:val="32"/>
          <w:szCs w:val="32"/>
        </w:rPr>
        <w:t>协助相关企业办理进出口备案及审批许可</w:t>
      </w:r>
      <w:r>
        <w:rPr>
          <w:rStyle w:val="20"/>
          <w:rFonts w:hint="default" w:ascii="Times New Roman" w:hAnsi="Times New Roman" w:eastAsia="仿宋_GB2312" w:cs="Times New Roman"/>
          <w:sz w:val="32"/>
          <w:szCs w:val="32"/>
          <w:lang w:eastAsia="zh-CN"/>
        </w:rPr>
        <w:t>等</w:t>
      </w:r>
      <w:r>
        <w:rPr>
          <w:rStyle w:val="20"/>
          <w:rFonts w:hint="default" w:ascii="Times New Roman" w:hAnsi="Times New Roman" w:eastAsia="仿宋_GB2312" w:cs="Times New Roman"/>
          <w:sz w:val="32"/>
          <w:szCs w:val="32"/>
        </w:rPr>
        <w:t>。同时，抽取平台专家对承接企业的生产进度与质量进行定期跟踪、交货验收，确保符合国际标准及企业要求。</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54" w:firstLineChars="200"/>
        <w:textAlignment w:val="auto"/>
        <w:rPr>
          <w:rStyle w:val="20"/>
          <w:rFonts w:hint="default" w:ascii="Times New Roman" w:hAnsi="Times New Roman" w:eastAsia="黑体" w:cs="Times New Roman"/>
          <w:sz w:val="32"/>
          <w:szCs w:val="32"/>
        </w:rPr>
      </w:pPr>
      <w:r>
        <w:rPr>
          <w:rStyle w:val="20"/>
          <w:rFonts w:hint="default" w:ascii="Times New Roman" w:hAnsi="Times New Roman" w:eastAsia="黑体" w:cs="Times New Roman"/>
          <w:sz w:val="32"/>
          <w:szCs w:val="32"/>
        </w:rPr>
        <w:t>二、</w:t>
      </w:r>
      <w:r>
        <w:rPr>
          <w:rStyle w:val="20"/>
          <w:rFonts w:hint="default" w:ascii="Times New Roman" w:hAnsi="Times New Roman" w:eastAsia="黑体" w:cs="Times New Roman"/>
          <w:sz w:val="32"/>
          <w:szCs w:val="32"/>
          <w:lang w:eastAsia="zh-CN"/>
        </w:rPr>
        <w:t>实践</w:t>
      </w:r>
      <w:r>
        <w:rPr>
          <w:rStyle w:val="20"/>
          <w:rFonts w:hint="default" w:ascii="Times New Roman" w:hAnsi="Times New Roman" w:eastAsia="黑体" w:cs="Times New Roman"/>
          <w:sz w:val="32"/>
          <w:szCs w:val="32"/>
        </w:rPr>
        <w:t>效果</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54" w:firstLineChars="200"/>
        <w:textAlignment w:val="auto"/>
        <w:rPr>
          <w:rStyle w:val="20"/>
          <w:rFonts w:hint="default" w:ascii="Times New Roman" w:hAnsi="Times New Roman" w:eastAsia="仿宋_GB2312" w:cs="Times New Roman"/>
          <w:sz w:val="32"/>
          <w:szCs w:val="32"/>
        </w:rPr>
      </w:pPr>
      <w:r>
        <w:rPr>
          <w:rStyle w:val="20"/>
          <w:rFonts w:hint="default" w:ascii="Times New Roman" w:hAnsi="Times New Roman" w:eastAsia="楷体_GB2312" w:cs="Times New Roman"/>
          <w:b/>
          <w:bCs/>
          <w:sz w:val="32"/>
          <w:szCs w:val="32"/>
        </w:rPr>
        <w:t>（一）降低了企业的运营成本。</w:t>
      </w:r>
      <w:r>
        <w:rPr>
          <w:rStyle w:val="20"/>
          <w:rFonts w:hint="default" w:ascii="Times New Roman" w:hAnsi="Times New Roman" w:eastAsia="仿宋_GB2312" w:cs="Times New Roman"/>
          <w:sz w:val="32"/>
          <w:szCs w:val="32"/>
        </w:rPr>
        <w:t>通过平台操作实现信息贯通，数据流配合物流无损传输，全程电子化操作，改变了原先70%的订单都是手动操作的局面，订单处理时间缩短至原来的1/3，订单处理成本降至原来的50%。</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54" w:firstLineChars="200"/>
        <w:textAlignment w:val="auto"/>
        <w:rPr>
          <w:rStyle w:val="20"/>
          <w:rFonts w:hint="default" w:ascii="Times New Roman" w:hAnsi="Times New Roman" w:eastAsia="仿宋_GB2312" w:cs="Times New Roman"/>
          <w:bCs/>
          <w:color w:val="000000"/>
          <w:sz w:val="32"/>
          <w:szCs w:val="32"/>
        </w:rPr>
      </w:pPr>
      <w:r>
        <w:rPr>
          <w:rStyle w:val="20"/>
          <w:rFonts w:hint="default" w:ascii="Times New Roman" w:hAnsi="Times New Roman" w:eastAsia="楷体_GB2312" w:cs="Times New Roman"/>
          <w:b/>
          <w:bCs/>
          <w:sz w:val="32"/>
          <w:szCs w:val="32"/>
        </w:rPr>
        <w:t>（</w:t>
      </w:r>
      <w:r>
        <w:rPr>
          <w:rStyle w:val="20"/>
          <w:rFonts w:hint="default" w:ascii="Times New Roman" w:hAnsi="Times New Roman" w:eastAsia="楷体_GB2312" w:cs="Times New Roman"/>
          <w:b/>
          <w:bCs/>
          <w:sz w:val="32"/>
          <w:szCs w:val="32"/>
          <w:lang w:eastAsia="zh-CN"/>
        </w:rPr>
        <w:t>二</w:t>
      </w:r>
      <w:r>
        <w:rPr>
          <w:rStyle w:val="20"/>
          <w:rFonts w:hint="default" w:ascii="Times New Roman" w:hAnsi="Times New Roman" w:eastAsia="楷体_GB2312" w:cs="Times New Roman"/>
          <w:b/>
          <w:bCs/>
          <w:sz w:val="32"/>
          <w:szCs w:val="32"/>
        </w:rPr>
        <w:t>）提升了能源贸易的竞争力。</w:t>
      </w:r>
      <w:r>
        <w:rPr>
          <w:rStyle w:val="20"/>
          <w:rFonts w:hint="default" w:ascii="Times New Roman" w:hAnsi="Times New Roman" w:eastAsia="仿宋_GB2312" w:cs="Times New Roman"/>
          <w:bCs/>
          <w:color w:val="000000"/>
          <w:sz w:val="32"/>
          <w:szCs w:val="32"/>
        </w:rPr>
        <w:t>平台运营至今，通过资源互补、市场共拓等方式，实现了能源贸易前端外延</w:t>
      </w:r>
      <w:r>
        <w:rPr>
          <w:rStyle w:val="20"/>
          <w:rFonts w:hint="default" w:ascii="Times New Roman" w:hAnsi="Times New Roman" w:eastAsia="仿宋_GB2312" w:cs="Times New Roman"/>
          <w:bCs/>
          <w:color w:val="000000"/>
          <w:sz w:val="32"/>
          <w:szCs w:val="32"/>
          <w:lang w:eastAsia="zh-CN"/>
        </w:rPr>
        <w:t>。</w:t>
      </w:r>
      <w:r>
        <w:rPr>
          <w:rStyle w:val="20"/>
          <w:rFonts w:hint="default" w:ascii="Times New Roman" w:hAnsi="Times New Roman" w:eastAsia="仿宋_GB2312" w:cs="Times New Roman"/>
          <w:bCs/>
          <w:color w:val="000000"/>
          <w:sz w:val="32"/>
          <w:szCs w:val="32"/>
        </w:rPr>
        <w:t>同时，依托平台的金融服务等功能，为平台各类企业提供超过5000万元的低利率信贷，有效降低了企业的融资成本，全面提升</w:t>
      </w:r>
      <w:r>
        <w:rPr>
          <w:rStyle w:val="20"/>
          <w:rFonts w:hint="default" w:ascii="Times New Roman" w:hAnsi="Times New Roman" w:eastAsia="仿宋_GB2312" w:cs="Times New Roman"/>
          <w:bCs/>
          <w:color w:val="000000"/>
          <w:sz w:val="32"/>
          <w:szCs w:val="32"/>
          <w:lang w:eastAsia="zh-CN"/>
        </w:rPr>
        <w:t>能源类企业</w:t>
      </w:r>
      <w:r>
        <w:rPr>
          <w:rStyle w:val="20"/>
          <w:rFonts w:hint="default" w:ascii="Times New Roman" w:hAnsi="Times New Roman" w:eastAsia="仿宋_GB2312" w:cs="Times New Roman"/>
          <w:bCs/>
          <w:color w:val="000000"/>
          <w:sz w:val="32"/>
          <w:szCs w:val="32"/>
        </w:rPr>
        <w:t>的国际竞争力。</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54" w:firstLineChars="200"/>
        <w:textAlignment w:val="auto"/>
        <w:rPr>
          <w:rStyle w:val="20"/>
          <w:rFonts w:hint="default" w:ascii="Times New Roman" w:hAnsi="Times New Roman" w:eastAsia="仿宋_GB2312" w:cs="Times New Roman"/>
          <w:color w:val="000000"/>
          <w:sz w:val="32"/>
          <w:szCs w:val="32"/>
        </w:rPr>
      </w:pPr>
      <w:r>
        <w:rPr>
          <w:rStyle w:val="20"/>
          <w:rFonts w:hint="default" w:ascii="Times New Roman" w:hAnsi="Times New Roman" w:eastAsia="楷体_GB2312" w:cs="Times New Roman"/>
          <w:b/>
          <w:bCs/>
          <w:sz w:val="32"/>
          <w:szCs w:val="32"/>
        </w:rPr>
        <w:t>（</w:t>
      </w:r>
      <w:r>
        <w:rPr>
          <w:rStyle w:val="20"/>
          <w:rFonts w:hint="default" w:ascii="Times New Roman" w:hAnsi="Times New Roman" w:eastAsia="楷体_GB2312" w:cs="Times New Roman"/>
          <w:b/>
          <w:bCs/>
          <w:sz w:val="32"/>
          <w:szCs w:val="32"/>
          <w:lang w:eastAsia="zh-CN"/>
        </w:rPr>
        <w:t>三</w:t>
      </w:r>
      <w:r>
        <w:rPr>
          <w:rStyle w:val="20"/>
          <w:rFonts w:hint="default" w:ascii="Times New Roman" w:hAnsi="Times New Roman" w:eastAsia="楷体_GB2312" w:cs="Times New Roman"/>
          <w:b/>
          <w:bCs/>
          <w:sz w:val="32"/>
          <w:szCs w:val="32"/>
        </w:rPr>
        <w:t>）拓展了能源国际合作空间。</w:t>
      </w:r>
      <w:r>
        <w:rPr>
          <w:rStyle w:val="20"/>
          <w:rFonts w:hint="default" w:ascii="Times New Roman" w:hAnsi="Times New Roman" w:eastAsia="仿宋_GB2312" w:cs="Times New Roman"/>
          <w:sz w:val="32"/>
          <w:szCs w:val="32"/>
        </w:rPr>
        <w:t>平台吸引了1000余家能源类企业汇聚，</w:t>
      </w:r>
      <w:r>
        <w:rPr>
          <w:rStyle w:val="20"/>
          <w:rFonts w:hint="default" w:ascii="Times New Roman" w:hAnsi="Times New Roman" w:eastAsia="仿宋_GB2312" w:cs="Times New Roman"/>
          <w:sz w:val="32"/>
          <w:szCs w:val="32"/>
          <w:lang w:eastAsia="zh-CN"/>
        </w:rPr>
        <w:t>通过</w:t>
      </w:r>
      <w:r>
        <w:rPr>
          <w:rStyle w:val="20"/>
          <w:rFonts w:hint="default" w:ascii="Times New Roman" w:hAnsi="Times New Roman" w:eastAsia="仿宋_GB2312" w:cs="Times New Roman"/>
          <w:sz w:val="32"/>
          <w:szCs w:val="32"/>
        </w:rPr>
        <w:t>组建联合体，形成了抱团开拓国际能源</w:t>
      </w:r>
      <w:r>
        <w:rPr>
          <w:rStyle w:val="20"/>
          <w:rFonts w:hint="default" w:ascii="Times New Roman" w:hAnsi="Times New Roman" w:eastAsia="仿宋_GB2312" w:cs="Times New Roman"/>
          <w:sz w:val="32"/>
          <w:szCs w:val="32"/>
          <w:lang w:eastAsia="zh-CN"/>
        </w:rPr>
        <w:t>市场</w:t>
      </w:r>
      <w:r>
        <w:rPr>
          <w:rStyle w:val="20"/>
          <w:rFonts w:hint="default" w:ascii="Times New Roman" w:hAnsi="Times New Roman" w:eastAsia="仿宋_GB2312" w:cs="Times New Roman"/>
          <w:sz w:val="32"/>
          <w:szCs w:val="32"/>
        </w:rPr>
        <w:t>的新优势</w:t>
      </w:r>
      <w:r>
        <w:rPr>
          <w:rStyle w:val="20"/>
          <w:rFonts w:hint="default" w:ascii="Times New Roman" w:hAnsi="Times New Roman" w:eastAsia="仿宋_GB2312" w:cs="Times New Roman"/>
          <w:sz w:val="32"/>
          <w:szCs w:val="32"/>
          <w:lang w:eastAsia="zh-CN"/>
        </w:rPr>
        <w:t>。</w:t>
      </w:r>
      <w:r>
        <w:rPr>
          <w:rStyle w:val="20"/>
          <w:rFonts w:hint="default" w:ascii="Times New Roman" w:hAnsi="Times New Roman" w:eastAsia="仿宋_GB2312" w:cs="Times New Roman"/>
          <w:sz w:val="32"/>
          <w:szCs w:val="32"/>
        </w:rPr>
        <w:t>目前，平台已获得了7760万吨油污泥处理业务和2.4亿的采购服务订单，并通过科学化、专业化的订单拆分，为平台</w:t>
      </w:r>
      <w:r>
        <w:rPr>
          <w:rStyle w:val="20"/>
          <w:rFonts w:hint="default" w:ascii="Times New Roman" w:hAnsi="Times New Roman" w:eastAsia="仿宋_GB2312" w:cs="Times New Roman"/>
          <w:sz w:val="32"/>
          <w:szCs w:val="32"/>
          <w:lang w:val="en-US" w:eastAsia="zh-CN"/>
        </w:rPr>
        <w:t>200</w:t>
      </w:r>
      <w:r>
        <w:rPr>
          <w:rStyle w:val="20"/>
          <w:rFonts w:hint="default" w:ascii="Times New Roman" w:hAnsi="Times New Roman" w:eastAsia="仿宋_GB2312" w:cs="Times New Roman"/>
          <w:sz w:val="32"/>
          <w:szCs w:val="32"/>
        </w:rPr>
        <w:t>余家企业提供了技术、服务、人员、设备等出口订单。</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54" w:firstLineChars="200"/>
        <w:textAlignment w:val="auto"/>
        <w:rPr>
          <w:rStyle w:val="20"/>
          <w:rFonts w:hint="default" w:ascii="Times New Roman" w:hAnsi="Times New Roman" w:eastAsia="黑体" w:cs="Times New Roman"/>
          <w:sz w:val="32"/>
          <w:szCs w:val="32"/>
        </w:rPr>
      </w:pPr>
      <w:r>
        <w:rPr>
          <w:rStyle w:val="20"/>
          <w:rFonts w:hint="default" w:ascii="Times New Roman" w:hAnsi="Times New Roman" w:eastAsia="黑体" w:cs="Times New Roman"/>
          <w:sz w:val="32"/>
          <w:szCs w:val="32"/>
        </w:rPr>
        <w:t>三、下一步工作</w:t>
      </w:r>
      <w:r>
        <w:rPr>
          <w:rStyle w:val="20"/>
          <w:rFonts w:hint="default" w:ascii="Times New Roman" w:hAnsi="Times New Roman" w:eastAsia="黑体" w:cs="Times New Roman"/>
          <w:sz w:val="32"/>
          <w:szCs w:val="32"/>
          <w:lang w:eastAsia="zh-CN"/>
        </w:rPr>
        <w:t>思路</w:t>
      </w:r>
    </w:p>
    <w:p>
      <w:pPr>
        <w:keepNext w:val="0"/>
        <w:keepLines w:val="0"/>
        <w:pageBreakBefore w:val="0"/>
        <w:widowControl w:val="0"/>
        <w:kinsoku/>
        <w:wordWrap/>
        <w:overflowPunct/>
        <w:topLinePunct w:val="0"/>
        <w:autoSpaceDE/>
        <w:autoSpaceDN/>
        <w:bidi w:val="0"/>
        <w:adjustRightInd/>
        <w:snapToGrid/>
        <w:spacing w:line="540" w:lineRule="exact"/>
        <w:ind w:firstLine="654" w:firstLineChars="200"/>
        <w:textAlignment w:val="auto"/>
        <w:rPr>
          <w:rStyle w:val="20"/>
          <w:rFonts w:hint="default" w:ascii="Times New Roman" w:hAnsi="Times New Roman" w:eastAsia="仿宋_GB2312" w:cs="Times New Roman"/>
          <w:sz w:val="32"/>
          <w:szCs w:val="32"/>
        </w:rPr>
      </w:pPr>
      <w:r>
        <w:rPr>
          <w:rStyle w:val="20"/>
          <w:rFonts w:hint="default" w:ascii="Times New Roman" w:hAnsi="Times New Roman" w:eastAsia="仿宋_GB2312" w:cs="Times New Roman"/>
          <w:sz w:val="32"/>
          <w:szCs w:val="32"/>
        </w:rPr>
        <w:t>下一步，</w:t>
      </w:r>
      <w:r>
        <w:rPr>
          <w:rFonts w:hint="default" w:ascii="Times New Roman" w:hAnsi="Times New Roman" w:eastAsia="仿宋_GB2312" w:cs="Times New Roman"/>
          <w:bCs/>
          <w:sz w:val="32"/>
          <w:szCs w:val="32"/>
        </w:rPr>
        <w:t>陕西自贸试验区</w:t>
      </w:r>
      <w:r>
        <w:rPr>
          <w:rFonts w:hint="default" w:ascii="Times New Roman" w:hAnsi="Times New Roman" w:eastAsia="仿宋_GB2312" w:cs="Times New Roman"/>
          <w:bCs/>
          <w:sz w:val="32"/>
          <w:szCs w:val="32"/>
          <w:lang w:eastAsia="zh-CN"/>
        </w:rPr>
        <w:t>西咸新区</w:t>
      </w:r>
      <w:r>
        <w:rPr>
          <w:rStyle w:val="20"/>
          <w:rFonts w:hint="default" w:ascii="Times New Roman" w:hAnsi="Times New Roman" w:eastAsia="仿宋_GB2312" w:cs="Times New Roman"/>
          <w:sz w:val="32"/>
          <w:szCs w:val="32"/>
          <w:lang w:eastAsia="zh-CN"/>
        </w:rPr>
        <w:t>能源金贸功能区</w:t>
      </w:r>
      <w:r>
        <w:rPr>
          <w:rStyle w:val="20"/>
          <w:rFonts w:hint="default" w:ascii="Times New Roman" w:hAnsi="Times New Roman" w:eastAsia="仿宋_GB2312" w:cs="Times New Roman"/>
          <w:sz w:val="32"/>
          <w:szCs w:val="32"/>
        </w:rPr>
        <w:t>将立足总体方案，按照</w:t>
      </w:r>
      <w:r>
        <w:rPr>
          <w:rStyle w:val="20"/>
          <w:rFonts w:hint="default" w:ascii="Times New Roman" w:hAnsi="Times New Roman" w:eastAsia="仿宋_GB2312" w:cs="Times New Roman"/>
          <w:sz w:val="32"/>
          <w:szCs w:val="32"/>
          <w:lang w:eastAsia="zh-CN"/>
        </w:rPr>
        <w:t>“</w:t>
      </w:r>
      <w:r>
        <w:rPr>
          <w:rStyle w:val="20"/>
          <w:rFonts w:hint="default" w:ascii="Times New Roman" w:hAnsi="Times New Roman" w:eastAsia="仿宋_GB2312" w:cs="Times New Roman"/>
          <w:sz w:val="32"/>
          <w:szCs w:val="32"/>
        </w:rPr>
        <w:t>六保六稳</w:t>
      </w:r>
      <w:r>
        <w:rPr>
          <w:rStyle w:val="20"/>
          <w:rFonts w:hint="default" w:ascii="Times New Roman" w:hAnsi="Times New Roman" w:eastAsia="仿宋_GB2312" w:cs="Times New Roman"/>
          <w:sz w:val="32"/>
          <w:szCs w:val="32"/>
          <w:lang w:eastAsia="zh-CN"/>
        </w:rPr>
        <w:t>”</w:t>
      </w:r>
      <w:r>
        <w:rPr>
          <w:rStyle w:val="20"/>
          <w:rFonts w:hint="default" w:ascii="Times New Roman" w:hAnsi="Times New Roman" w:eastAsia="仿宋_GB2312" w:cs="Times New Roman"/>
          <w:sz w:val="32"/>
          <w:szCs w:val="32"/>
        </w:rPr>
        <w:t>要求，以夯实供应链基础为主线，以提升价值链层次为</w:t>
      </w:r>
      <w:r>
        <w:rPr>
          <w:rStyle w:val="20"/>
          <w:rFonts w:hint="default" w:ascii="Times New Roman" w:hAnsi="Times New Roman" w:eastAsia="仿宋_GB2312" w:cs="Times New Roman"/>
          <w:sz w:val="32"/>
          <w:szCs w:val="32"/>
          <w:lang w:eastAsia="zh-CN"/>
        </w:rPr>
        <w:t>重点</w:t>
      </w:r>
      <w:r>
        <w:rPr>
          <w:rStyle w:val="20"/>
          <w:rFonts w:hint="default" w:ascii="Times New Roman" w:hAnsi="Times New Roman" w:eastAsia="仿宋_GB2312" w:cs="Times New Roman"/>
          <w:sz w:val="32"/>
          <w:szCs w:val="32"/>
        </w:rPr>
        <w:t>，以培育产业链生态为抓手，全面推进能源国际合作，全力保障能源类产业链、供应链稳定。同时，重点改善能源贸易条件，支持平台机构探索创新适应跨国能源贸易特点的金融保险、跨境贸易人民币结算等专业服务，切实降低能源类企业成本，助力能源产业链供应链畅通。</w:t>
      </w:r>
    </w:p>
    <w:p>
      <w:pPr>
        <w:rPr>
          <w:rStyle w:val="20"/>
          <w:rFonts w:hint="default" w:ascii="Times New Roman" w:hAnsi="Times New Roman" w:eastAsia="仿宋_GB2312" w:cs="Times New Roman"/>
          <w:sz w:val="32"/>
          <w:szCs w:val="32"/>
          <w:lang w:eastAsia="zh-CN"/>
        </w:rPr>
      </w:pPr>
      <w:r>
        <w:rPr>
          <w:rStyle w:val="20"/>
          <w:rFonts w:hint="default" w:ascii="Times New Roman" w:hAnsi="Times New Roman" w:eastAsia="仿宋_GB2312" w:cs="Times New Roman"/>
          <w:sz w:val="32"/>
          <w:szCs w:val="32"/>
          <w:lang w:eastAsia="zh-CN"/>
        </w:rPr>
        <w:br w:type="page"/>
      </w:r>
    </w:p>
    <w:p>
      <w:pPr>
        <w:pStyle w:val="5"/>
        <w:keepNext w:val="0"/>
        <w:keepLines w:val="0"/>
        <w:pageBreakBefore w:val="0"/>
        <w:widowControl w:val="0"/>
        <w:kinsoku/>
        <w:wordWrap/>
        <w:overflowPunct/>
        <w:topLinePunct w:val="0"/>
        <w:autoSpaceDE/>
        <w:autoSpaceDN/>
        <w:bidi w:val="0"/>
        <w:adjustRightInd/>
        <w:snapToGrid/>
        <w:spacing w:line="560" w:lineRule="exact"/>
        <w:jc w:val="both"/>
        <w:textAlignment w:val="auto"/>
        <w:rPr>
          <w:rStyle w:val="20"/>
          <w:rFonts w:hint="default" w:ascii="Times New Roman" w:hAnsi="Times New Roman" w:eastAsia="黑体" w:cs="Times New Roman"/>
          <w:sz w:val="32"/>
          <w:szCs w:val="32"/>
          <w:lang w:val="en-US" w:eastAsia="zh-CN"/>
        </w:rPr>
      </w:pPr>
      <w:r>
        <w:rPr>
          <w:rStyle w:val="20"/>
          <w:rFonts w:hint="default" w:ascii="Times New Roman" w:hAnsi="Times New Roman" w:eastAsia="黑体" w:cs="Times New Roman"/>
          <w:sz w:val="32"/>
          <w:szCs w:val="32"/>
          <w:lang w:eastAsia="zh-CN"/>
        </w:rPr>
        <w:t>案例</w:t>
      </w:r>
      <w:r>
        <w:rPr>
          <w:rStyle w:val="20"/>
          <w:rFonts w:hint="default" w:ascii="Times New Roman" w:hAnsi="Times New Roman" w:eastAsia="黑体" w:cs="Times New Roman"/>
          <w:sz w:val="32"/>
          <w:szCs w:val="32"/>
          <w:lang w:val="en-US" w:eastAsia="zh-CN"/>
        </w:rPr>
        <w:t>9</w:t>
      </w:r>
    </w:p>
    <w:p>
      <w:pPr>
        <w:pStyle w:val="5"/>
        <w:keepNext w:val="0"/>
        <w:keepLines w:val="0"/>
        <w:pageBreakBefore w:val="0"/>
        <w:widowControl w:val="0"/>
        <w:kinsoku/>
        <w:wordWrap/>
        <w:overflowPunct/>
        <w:topLinePunct w:val="0"/>
        <w:autoSpaceDE/>
        <w:autoSpaceDN/>
        <w:bidi w:val="0"/>
        <w:adjustRightInd/>
        <w:snapToGrid/>
        <w:spacing w:line="560" w:lineRule="exact"/>
        <w:jc w:val="both"/>
        <w:textAlignment w:val="auto"/>
        <w:rPr>
          <w:rStyle w:val="20"/>
          <w:rFonts w:hint="default" w:ascii="Times New Roman"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lang w:val="en-US" w:eastAsia="zh-CN"/>
        </w:rPr>
        <w:t>工业互联网管理平台</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color w:val="auto"/>
          <w:sz w:val="32"/>
          <w:szCs w:val="32"/>
          <w:lang w:val="en-US" w:eastAsia="zh-CN"/>
        </w:rPr>
        <w:t>陕西自贸试验区西咸新区秦汉新城功能区着力推动互联网、大数据和实体经济深度融合，自主研发了工业互联网管理平台，对企业生产经营情况进行实时掌控和动态监管，为企业提供精准服务，助力区内制造业企业向高价值、高端化迈进</w:t>
      </w:r>
      <w:r>
        <w:rPr>
          <w:rFonts w:hint="default" w:ascii="Times New Roman" w:hAnsi="Times New Roman" w:eastAsia="仿宋_GB2312" w:cs="Times New Roman"/>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rPr>
        <w:t>一、</w:t>
      </w:r>
      <w:r>
        <w:rPr>
          <w:rFonts w:hint="default" w:ascii="Times New Roman" w:hAnsi="Times New Roman" w:eastAsia="黑体" w:cs="Times New Roman"/>
          <w:sz w:val="32"/>
          <w:szCs w:val="32"/>
          <w:lang w:val="en-US" w:eastAsia="zh-CN"/>
        </w:rPr>
        <w:t>平台介绍</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工业互联网管理平台收集辖区内工业企业生产经营信息，建立了内容丰富、信息精准的工业企业信息数据库，通过对数据自动核查、校对和在线分析，为企业提供政策推送、金融支持、贯标服务、预警监管等功能，切实助推辖区内工业企业转型升级。</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二、主要功能</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sz w:val="32"/>
          <w:szCs w:val="32"/>
        </w:rPr>
      </w:pPr>
      <w:r>
        <w:rPr>
          <w:rFonts w:hint="default" w:ascii="Times New Roman" w:hAnsi="Times New Roman" w:eastAsia="楷体_GB2312" w:cs="Times New Roman"/>
          <w:b/>
          <w:bCs/>
          <w:sz w:val="32"/>
          <w:szCs w:val="32"/>
          <w:lang w:val="en-US" w:eastAsia="zh-CN"/>
        </w:rPr>
        <w:t>（一）政策推送。</w:t>
      </w:r>
      <w:r>
        <w:rPr>
          <w:rFonts w:hint="default" w:ascii="Times New Roman" w:hAnsi="Times New Roman" w:eastAsia="仿宋_GB2312" w:cs="Times New Roman"/>
          <w:color w:val="auto"/>
          <w:sz w:val="32"/>
          <w:szCs w:val="32"/>
          <w:lang w:val="en-US" w:eastAsia="zh-CN"/>
        </w:rPr>
        <w:t>平台及时整理中、省、市、新区各类奖补及扶持政策，按照产业类别进行二次细分后定向直接推送至企业负责人，协助企业做好申报工作。同时，政府部门根据系统数据库分析结果，制定精准扶持政策，切实解决企业发展难题。</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sz w:val="32"/>
          <w:szCs w:val="32"/>
        </w:rPr>
      </w:pPr>
      <w:r>
        <w:rPr>
          <w:rFonts w:hint="default" w:ascii="Times New Roman" w:hAnsi="Times New Roman" w:eastAsia="楷体_GB2312" w:cs="Times New Roman"/>
          <w:b/>
          <w:bCs/>
          <w:sz w:val="32"/>
          <w:szCs w:val="32"/>
          <w:lang w:val="en-US" w:eastAsia="zh-CN"/>
        </w:rPr>
        <w:t>（二）金融支持。</w:t>
      </w:r>
      <w:r>
        <w:rPr>
          <w:rFonts w:hint="default" w:ascii="Times New Roman" w:hAnsi="Times New Roman" w:eastAsia="仿宋_GB2312" w:cs="Times New Roman"/>
          <w:color w:val="auto"/>
          <w:sz w:val="32"/>
          <w:szCs w:val="32"/>
          <w:lang w:val="en-US" w:eastAsia="zh-CN"/>
        </w:rPr>
        <w:t>平台充分挖掘企业数据价值，与民生银行等金融机构合作，推出科技金融数据计算模型，多维度衡量企业信用状况，定制化推出数字金融产品。平台将企业上报核对后的数据形成电子报告书并背书，银行可凭借企业电子报告书等材料对企业展开线上快速信贷评估，确定年度信贷额度和利率标准。在额度范围内，企业可实现随贷随用、当天放款，切实降低企业获得信贷成本。</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b/>
          <w:bCs/>
          <w:sz w:val="32"/>
          <w:szCs w:val="32"/>
          <w:lang w:val="en-US" w:eastAsia="zh-CN"/>
        </w:rPr>
        <w:t>（三）贯标服务。</w:t>
      </w:r>
      <w:r>
        <w:rPr>
          <w:rFonts w:hint="default" w:ascii="Times New Roman" w:hAnsi="Times New Roman" w:eastAsia="仿宋_GB2312" w:cs="Times New Roman"/>
          <w:color w:val="auto"/>
          <w:sz w:val="32"/>
          <w:szCs w:val="32"/>
          <w:lang w:val="en-US" w:eastAsia="zh-CN"/>
        </w:rPr>
        <w:t>平台遴选服务质量好、贯标通过率高的第三方为区内工业企业提供贯标服务，企业无需预先缴纳服务费便可开展贯标提升与申报工作，待通过省工信厅贯标审批并获得省上奖励资金后，再缴纳相应的费用。改变了原先企业需要单独寻找第三方服务公司并支付服务费的模式，有效减轻了企业的资金投入，提高了企业申请贯标的积极性。</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楷体_GB2312" w:cs="Times New Roman"/>
          <w:b/>
          <w:bCs/>
          <w:sz w:val="32"/>
          <w:szCs w:val="32"/>
          <w:lang w:val="en-US" w:eastAsia="zh-CN"/>
        </w:rPr>
        <w:t>（四）预警监管。</w:t>
      </w:r>
      <w:r>
        <w:rPr>
          <w:rFonts w:hint="default" w:ascii="Times New Roman" w:hAnsi="Times New Roman" w:eastAsia="仿宋_GB2312" w:cs="Times New Roman"/>
          <w:color w:val="auto"/>
          <w:sz w:val="32"/>
          <w:szCs w:val="32"/>
          <w:lang w:val="en-US" w:eastAsia="zh-CN"/>
        </w:rPr>
        <w:t>平台联动政务服务平台，依据企业生产经营状况、用电情况、生产订单、排污情况、贯标申请、行政处罚信息、金融信贷等，全面刻画出企业发展指数，并根据企业指数，构建具有差异化的监管体系，重点对企业经营异常、排污量、信贷违约等实施线上线下融合性的差异化与联合监管，确保监管不缺位。</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val="en-US" w:eastAsia="zh-CN"/>
        </w:rPr>
        <w:t>三</w:t>
      </w:r>
      <w:r>
        <w:rPr>
          <w:rFonts w:hint="default" w:ascii="Times New Roman" w:hAnsi="Times New Roman" w:eastAsia="黑体" w:cs="Times New Roman"/>
          <w:sz w:val="32"/>
          <w:szCs w:val="32"/>
        </w:rPr>
        <w:t>、</w:t>
      </w:r>
      <w:r>
        <w:rPr>
          <w:rFonts w:hint="default" w:ascii="Times New Roman" w:hAnsi="Times New Roman" w:eastAsia="黑体" w:cs="Times New Roman"/>
          <w:sz w:val="32"/>
          <w:szCs w:val="32"/>
          <w:lang w:val="en-US" w:eastAsia="zh-CN"/>
        </w:rPr>
        <w:t>实践效果</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楷体_GB2312" w:cs="Times New Roman"/>
          <w:b/>
          <w:bCs/>
          <w:sz w:val="32"/>
          <w:szCs w:val="32"/>
          <w:lang w:val="en-US" w:eastAsia="zh-CN"/>
        </w:rPr>
        <w:t>（一）便利企业获得政策支持。</w:t>
      </w:r>
      <w:r>
        <w:rPr>
          <w:rFonts w:hint="default" w:ascii="Times New Roman" w:hAnsi="Times New Roman" w:eastAsia="仿宋_GB2312" w:cs="Times New Roman"/>
          <w:color w:val="auto"/>
          <w:sz w:val="32"/>
          <w:szCs w:val="32"/>
          <w:lang w:val="en-US" w:eastAsia="zh-CN"/>
        </w:rPr>
        <w:t>平台将工业政策细分为13个领域，发布政策100余条，覆盖全区77家工业企业，目前已有40多家企业在平台协助下申请到了各类各级政策扶持资金共计1700多万元。</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楷体_GB2312" w:cs="Times New Roman"/>
          <w:b/>
          <w:bCs/>
          <w:sz w:val="32"/>
          <w:szCs w:val="32"/>
          <w:lang w:val="en-US" w:eastAsia="zh-CN"/>
        </w:rPr>
        <w:t>（二）提高企业贯标通过率。</w:t>
      </w:r>
      <w:r>
        <w:rPr>
          <w:rFonts w:hint="default" w:ascii="Times New Roman" w:hAnsi="Times New Roman" w:eastAsia="仿宋_GB2312" w:cs="Times New Roman"/>
          <w:color w:val="auto"/>
          <w:sz w:val="32"/>
          <w:szCs w:val="32"/>
          <w:lang w:val="en-US" w:eastAsia="zh-CN"/>
        </w:rPr>
        <w:t>平台先后为区内10家企业提供了贯标申报服务，相关企业通过省工信厅的贯标审批率达到100%，较以前企业自行寻找第三方时的通过率提高了50%，企业平均申请投入降低了30%，还能额外获得省、市、新区三级奖励资金。</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楷体_GB2312" w:cs="Times New Roman"/>
          <w:b/>
          <w:bCs/>
          <w:sz w:val="32"/>
          <w:szCs w:val="32"/>
          <w:lang w:val="en-US" w:eastAsia="zh-CN"/>
        </w:rPr>
        <w:t>（三）拓宽了企业融资渠道。</w:t>
      </w:r>
      <w:r>
        <w:rPr>
          <w:rFonts w:hint="default" w:ascii="Times New Roman" w:hAnsi="Times New Roman" w:eastAsia="仿宋_GB2312" w:cs="Times New Roman"/>
          <w:color w:val="auto"/>
          <w:sz w:val="32"/>
          <w:szCs w:val="32"/>
          <w:lang w:val="en-US" w:eastAsia="zh-CN"/>
        </w:rPr>
        <w:t>平台已与民生银行、渤海银行推出了50亿元预备专项资金和多个在线数字金融产品，在政府贴息政策的支持下，企业信贷利率低于银行平均利率，深受企业欢迎。</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方正仿宋_GB2312" w:cs="Times New Roman"/>
          <w:b w:val="0"/>
          <w:bCs w:val="0"/>
          <w:color w:val="auto"/>
          <w:sz w:val="32"/>
          <w:szCs w:val="32"/>
          <w:lang w:val="en-US" w:eastAsia="zh-CN"/>
        </w:rPr>
      </w:pPr>
      <w:r>
        <w:rPr>
          <w:rFonts w:hint="default" w:ascii="Times New Roman" w:hAnsi="Times New Roman" w:eastAsia="楷体_GB2312" w:cs="Times New Roman"/>
          <w:b/>
          <w:bCs/>
          <w:sz w:val="32"/>
          <w:szCs w:val="32"/>
          <w:lang w:val="en-US" w:eastAsia="zh-CN"/>
        </w:rPr>
        <w:t>（四）提升了政府监管水平。</w:t>
      </w:r>
      <w:r>
        <w:rPr>
          <w:rFonts w:hint="default" w:ascii="Times New Roman" w:hAnsi="Times New Roman" w:eastAsia="仿宋_GB2312" w:cs="Times New Roman"/>
          <w:color w:val="auto"/>
          <w:sz w:val="32"/>
          <w:szCs w:val="32"/>
          <w:lang w:eastAsia="zh-CN"/>
        </w:rPr>
        <w:t>目前，</w:t>
      </w:r>
      <w:r>
        <w:rPr>
          <w:rFonts w:hint="default" w:ascii="Times New Roman" w:hAnsi="Times New Roman" w:eastAsia="仿宋_GB2312" w:cs="Times New Roman"/>
          <w:color w:val="auto"/>
          <w:sz w:val="32"/>
          <w:szCs w:val="32"/>
          <w:lang w:val="en-US" w:eastAsia="zh-CN"/>
        </w:rPr>
        <w:t>平台</w:t>
      </w:r>
      <w:r>
        <w:rPr>
          <w:rFonts w:hint="default" w:ascii="Times New Roman" w:hAnsi="Times New Roman" w:eastAsia="仿宋_GB2312" w:cs="Times New Roman"/>
          <w:color w:val="auto"/>
          <w:sz w:val="32"/>
          <w:szCs w:val="32"/>
        </w:rPr>
        <w:t>通过提前预警</w:t>
      </w:r>
      <w:r>
        <w:rPr>
          <w:rFonts w:hint="default" w:ascii="Times New Roman" w:hAnsi="Times New Roman" w:eastAsia="仿宋_GB2312" w:cs="Times New Roman"/>
          <w:color w:val="auto"/>
          <w:sz w:val="32"/>
          <w:szCs w:val="32"/>
          <w:lang w:eastAsia="zh-CN"/>
        </w:rPr>
        <w:t>已累计查处各类漏报、虚报行为</w:t>
      </w:r>
      <w:r>
        <w:rPr>
          <w:rFonts w:hint="default" w:ascii="Times New Roman" w:hAnsi="Times New Roman" w:eastAsia="仿宋_GB2312" w:cs="Times New Roman"/>
          <w:color w:val="auto"/>
          <w:sz w:val="32"/>
          <w:szCs w:val="32"/>
          <w:lang w:val="en-US" w:eastAsia="zh-CN"/>
        </w:rPr>
        <w:t>3件。今年6月，某企业上报用电量数据与往年偏差较大，平台自动发出预警，相关部门立即开展调查，及时发现企业的违规生产行为。</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三、下一步工作思路</w:t>
      </w:r>
    </w:p>
    <w:p>
      <w:pPr>
        <w:keepNext w:val="0"/>
        <w:keepLines w:val="0"/>
        <w:pageBreakBefore w:val="0"/>
        <w:widowControl w:val="0"/>
        <w:kinsoku/>
        <w:wordWrap/>
        <w:overflowPunct/>
        <w:topLinePunct w:val="0"/>
        <w:autoSpaceDE/>
        <w:autoSpaceDN/>
        <w:bidi w:val="0"/>
        <w:adjustRightInd/>
        <w:snapToGrid/>
        <w:spacing w:line="560" w:lineRule="exact"/>
        <w:ind w:firstLine="654" w:firstLineChars="200"/>
        <w:textAlignment w:val="auto"/>
        <w:rPr>
          <w:rFonts w:hint="default" w:ascii="Times New Roman" w:hAnsi="Times New Roman" w:eastAsia="仿宋_GB2312" w:cs="Times New Roman"/>
          <w:sz w:val="32"/>
          <w:szCs w:val="32"/>
        </w:rPr>
        <w:sectPr>
          <w:footerReference r:id="rId4" w:type="default"/>
          <w:pgSz w:w="11906" w:h="16838"/>
          <w:pgMar w:top="2098" w:right="1474" w:bottom="1984" w:left="1587" w:header="851" w:footer="1587" w:gutter="0"/>
          <w:pgNumType w:fmt="decimal" w:start="1"/>
          <w:cols w:space="720" w:num="1"/>
          <w:rtlGutter w:val="0"/>
          <w:docGrid w:type="linesAndChars" w:linePitch="439" w:charSpace="1554"/>
        </w:sectPr>
      </w:pPr>
      <w:r>
        <w:rPr>
          <w:rFonts w:hint="default" w:ascii="Times New Roman" w:hAnsi="Times New Roman" w:eastAsia="仿宋_GB2312" w:cs="Times New Roman"/>
          <w:sz w:val="32"/>
          <w:szCs w:val="32"/>
        </w:rPr>
        <w:t>下一步</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bCs/>
          <w:sz w:val="32"/>
          <w:szCs w:val="32"/>
        </w:rPr>
        <w:t>陕西自贸试验区</w:t>
      </w:r>
      <w:r>
        <w:rPr>
          <w:rFonts w:hint="default" w:ascii="Times New Roman" w:hAnsi="Times New Roman" w:eastAsia="仿宋_GB2312" w:cs="Times New Roman"/>
          <w:bCs/>
          <w:sz w:val="32"/>
          <w:szCs w:val="32"/>
          <w:lang w:eastAsia="zh-CN"/>
        </w:rPr>
        <w:t>西咸新区</w:t>
      </w:r>
      <w:r>
        <w:rPr>
          <w:rFonts w:hint="default" w:ascii="Times New Roman" w:hAnsi="Times New Roman" w:eastAsia="仿宋_GB2312" w:cs="Times New Roman"/>
          <w:sz w:val="32"/>
          <w:szCs w:val="32"/>
        </w:rPr>
        <w:t>秦汉新城功能区将持续优化平台功能，并与政务服务平台、“零工保”等平台信息实现对接、共享，丰富平台数据采集范围，深挖数据价值，扩大平台电子化报告书的使用范围和替代功能，使得电子报告书成为企业在新城办理各项事务的重要凭证。同时，平台将突出科技成果转化功能，加强对科技创新企业、高新技术企业的服务，加速区内工业产业数字化，推动新城产业向高价值、高端化迈进。</w:t>
      </w:r>
      <w:bookmarkEnd w:id="0"/>
      <w:bookmarkEnd w:id="1"/>
      <w:bookmarkEnd w:id="2"/>
    </w:p>
    <w:p>
      <w:pPr>
        <w:keepNext w:val="0"/>
        <w:keepLines w:val="0"/>
        <w:pageBreakBefore w:val="0"/>
        <w:widowControl w:val="0"/>
        <w:kinsoku/>
        <w:wordWrap/>
        <w:overflowPunct/>
        <w:topLinePunct w:val="0"/>
        <w:autoSpaceDE/>
        <w:autoSpaceDN/>
        <w:bidi w:val="0"/>
        <w:adjustRightInd/>
        <w:snapToGrid/>
        <w:spacing w:before="0" w:beforeLines="0" w:after="0" w:afterLines="0" w:line="120" w:lineRule="exact"/>
        <w:ind w:left="0" w:leftChars="0" w:right="0" w:rightChars="0" w:firstLine="5760" w:firstLineChars="1800"/>
        <w:jc w:val="both"/>
        <w:textAlignment w:val="auto"/>
        <w:outlineLvl w:val="9"/>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120" w:lineRule="exact"/>
        <w:ind w:left="0" w:leftChars="0" w:right="0" w:rightChars="0" w:firstLine="5760" w:firstLineChars="1800"/>
        <w:jc w:val="both"/>
        <w:textAlignment w:val="auto"/>
        <w:outlineLvl w:val="9"/>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120" w:lineRule="exact"/>
        <w:ind w:left="0" w:leftChars="0" w:right="0" w:rightChars="0" w:firstLine="5760" w:firstLineChars="1800"/>
        <w:jc w:val="both"/>
        <w:textAlignment w:val="auto"/>
        <w:outlineLvl w:val="9"/>
        <w:rPr>
          <w:rFonts w:hint="default" w:ascii="Times New Roman" w:hAnsi="Times New Roman" w:eastAsia="仿宋_GB2312" w:cs="Times New Roman"/>
          <w:sz w:val="32"/>
          <w:szCs w:val="32"/>
        </w:rPr>
      </w:pPr>
    </w:p>
    <w:p/>
    <w:sectPr>
      <w:headerReference r:id="rId5" w:type="default"/>
      <w:pgSz w:w="11906" w:h="16838"/>
      <w:pgMar w:top="1984" w:right="1701" w:bottom="1701"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TT10Do00">
    <w:altName w:val="微软雅黑"/>
    <w:panose1 w:val="00000000000000000000"/>
    <w:charset w:val="00"/>
    <w:family w:val="auto"/>
    <w:pitch w:val="default"/>
    <w:sig w:usb0="00000000" w:usb1="00000000" w:usb2="00000000" w:usb3="00000000" w:csb0="00040001" w:csb1="00000000"/>
  </w:font>
  <w:font w:name="方正小标宋简体">
    <w:altName w:val="方正舒体"/>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方正仿宋_GB2312">
    <w:altName w:val="仿宋"/>
    <w:panose1 w:val="00000000000000000000"/>
    <w:charset w:val="86"/>
    <w:family w:val="auto"/>
    <w:pitch w:val="default"/>
    <w:sig w:usb0="00000000" w:usb1="00000000" w:usb2="00000012" w:usb3="00000000" w:csb0="00040001" w:csb1="00000000"/>
  </w:font>
  <w:font w:name="华文楷体">
    <w:panose1 w:val="02010600040101010101"/>
    <w:charset w:val="86"/>
    <w:family w:val="auto"/>
    <w:pitch w:val="default"/>
    <w:sig w:usb0="00000287" w:usb1="080F0000" w:usb2="00000000" w:usb3="00000000" w:csb0="0004009F" w:csb1="DFD70000"/>
  </w:font>
  <w:font w:name="方正黑体_GBK">
    <w:altName w:val="微软雅黑"/>
    <w:panose1 w:val="03000509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right="360" w:firstLine="360"/>
    </w:pPr>
    <w:r>
      <w:rPr>
        <w:sz w:val="22"/>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8"/>
                            <w:ind w:left="420" w:leftChars="200" w:right="420" w:rightChars="200"/>
                            <w:rPr>
                              <w:rStyle w:val="15"/>
                              <w:rFonts w:hint="eastAsia" w:ascii="宋体" w:hAnsi="宋体"/>
                              <w:sz w:val="28"/>
                              <w:szCs w:val="28"/>
                            </w:rPr>
                          </w:pPr>
                          <w:r>
                            <w:rPr>
                              <w:rStyle w:val="15"/>
                              <w:rFonts w:hint="eastAsia" w:ascii="宋体" w:hAnsi="宋体"/>
                              <w:sz w:val="28"/>
                              <w:szCs w:val="28"/>
                            </w:rPr>
                            <w:t xml:space="preserve">— </w:t>
                          </w:r>
                          <w:r>
                            <w:rPr>
                              <w:rFonts w:ascii="宋体" w:hAnsi="宋体"/>
                              <w:sz w:val="28"/>
                              <w:szCs w:val="28"/>
                            </w:rPr>
                            <w:fldChar w:fldCharType="begin"/>
                          </w:r>
                          <w:r>
                            <w:rPr>
                              <w:rStyle w:val="15"/>
                              <w:rFonts w:ascii="宋体" w:hAnsi="宋体"/>
                              <w:sz w:val="28"/>
                              <w:szCs w:val="28"/>
                            </w:rPr>
                            <w:instrText xml:space="preserve">PAGE  </w:instrText>
                          </w:r>
                          <w:r>
                            <w:rPr>
                              <w:rFonts w:ascii="宋体" w:hAnsi="宋体"/>
                              <w:sz w:val="28"/>
                              <w:szCs w:val="28"/>
                            </w:rPr>
                            <w:fldChar w:fldCharType="separate"/>
                          </w:r>
                          <w:r>
                            <w:rPr>
                              <w:rStyle w:val="15"/>
                              <w:rFonts w:ascii="宋体" w:hAnsi="宋体"/>
                              <w:sz w:val="28"/>
                              <w:szCs w:val="28"/>
                            </w:rPr>
                            <w:t>1</w:t>
                          </w:r>
                          <w:r>
                            <w:rPr>
                              <w:rFonts w:ascii="宋体" w:hAnsi="宋体"/>
                              <w:sz w:val="28"/>
                              <w:szCs w:val="28"/>
                            </w:rPr>
                            <w:fldChar w:fldCharType="end"/>
                          </w:r>
                          <w:r>
                            <w:rPr>
                              <w:rStyle w:val="15"/>
                              <w:rFonts w:hint="eastAsia" w:ascii="宋体" w:hAnsi="宋体"/>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o&#10;aYJL0wAAAAUBAAAPAAAAAAAAAAEAIAAAACIAAABkcnMvZG93bnJldi54bWxQSwECFAAUAAAACACH&#10;TuJAxGInwbcBAABVAwAADgAAAAAAAAABACAAAAAiAQAAZHJzL2Uyb0RvYy54bWxQSwUGAAAAAAYA&#10;BgBZAQAASwUAAAAA&#10;">
              <v:fill on="f" focussize="0,0"/>
              <v:stroke on="f" weight="1.25pt"/>
              <v:imagedata o:title=""/>
              <o:lock v:ext="edit" aspectratio="f"/>
              <v:textbox inset="0mm,0mm,0mm,0mm" style="mso-fit-shape-to-text:t;">
                <w:txbxContent>
                  <w:p>
                    <w:pPr>
                      <w:pStyle w:val="8"/>
                      <w:ind w:left="420" w:leftChars="200" w:right="420" w:rightChars="200"/>
                      <w:rPr>
                        <w:rStyle w:val="15"/>
                        <w:rFonts w:hint="eastAsia" w:ascii="宋体" w:hAnsi="宋体"/>
                        <w:sz w:val="28"/>
                        <w:szCs w:val="28"/>
                      </w:rPr>
                    </w:pPr>
                    <w:r>
                      <w:rPr>
                        <w:rStyle w:val="15"/>
                        <w:rFonts w:hint="eastAsia" w:ascii="宋体" w:hAnsi="宋体"/>
                        <w:sz w:val="28"/>
                        <w:szCs w:val="28"/>
                      </w:rPr>
                      <w:t xml:space="preserve">— </w:t>
                    </w:r>
                    <w:r>
                      <w:rPr>
                        <w:rFonts w:ascii="宋体" w:hAnsi="宋体"/>
                        <w:sz w:val="28"/>
                        <w:szCs w:val="28"/>
                      </w:rPr>
                      <w:fldChar w:fldCharType="begin"/>
                    </w:r>
                    <w:r>
                      <w:rPr>
                        <w:rStyle w:val="15"/>
                        <w:rFonts w:ascii="宋体" w:hAnsi="宋体"/>
                        <w:sz w:val="28"/>
                        <w:szCs w:val="28"/>
                      </w:rPr>
                      <w:instrText xml:space="preserve">PAGE  </w:instrText>
                    </w:r>
                    <w:r>
                      <w:rPr>
                        <w:rFonts w:ascii="宋体" w:hAnsi="宋体"/>
                        <w:sz w:val="28"/>
                        <w:szCs w:val="28"/>
                      </w:rPr>
                      <w:fldChar w:fldCharType="separate"/>
                    </w:r>
                    <w:r>
                      <w:rPr>
                        <w:rStyle w:val="15"/>
                        <w:rFonts w:ascii="宋体" w:hAnsi="宋体"/>
                        <w:sz w:val="28"/>
                        <w:szCs w:val="28"/>
                      </w:rPr>
                      <w:t>1</w:t>
                    </w:r>
                    <w:r>
                      <w:rPr>
                        <w:rFonts w:ascii="宋体" w:hAnsi="宋体"/>
                        <w:sz w:val="28"/>
                        <w:szCs w:val="28"/>
                      </w:rPr>
                      <w:fldChar w:fldCharType="end"/>
                    </w:r>
                    <w:r>
                      <w:rPr>
                        <w:rStyle w:val="15"/>
                        <w:rFonts w:hint="eastAsia" w:ascii="宋体" w:hAnsi="宋体"/>
                        <w:sz w:val="28"/>
                        <w:szCs w:val="28"/>
                      </w:rPr>
                      <w:t xml:space="preserve"> —</w:t>
                    </w:r>
                  </w:p>
                </w:txbxContent>
              </v:textbox>
            </v:shape>
          </w:pict>
        </mc:Fallback>
      </mc:AlternateContent>
    </w:r>
    <w:r>
      <w:rPr>
        <w:sz w:val="22"/>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sz w:val="18"/>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ARqoqKrgEAAEsD&#10;AAAOAAAAAAAAAAEAIAAAAB4BAABkcnMvZTJvRG9jLnhtbFBLBQYAAAAABgAGAFkBAAA+BQAAAAA=&#10;">
              <v:fill on="f" focussize="0,0"/>
              <v:stroke on="f"/>
              <v:imagedata o:title=""/>
              <o:lock v:ext="edit" aspectratio="f"/>
              <v:textbox inset="0mm,0mm,0mm,0mm" style="mso-fit-shape-to-text:t;">
                <w:txbxContent>
                  <w:p>
                    <w:pPr>
                      <w:snapToGrid w:val="0"/>
                      <w:rPr>
                        <w:rFonts w:hint="eastAsia"/>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8"/>
                            <w:rPr>
                              <w:rFonts w:hint="eastAsia" w:eastAsia="宋体"/>
                              <w:lang w:eastAsia="zh-CN"/>
                            </w:rPr>
                          </w:pPr>
                          <w:r>
                            <w:rPr>
                              <w:rFonts w:hint="eastAsia" w:eastAsia="宋体"/>
                              <w:lang w:eastAsia="zh-CN"/>
                            </w:rPr>
                            <w:t xml:space="preserve">—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r>
                            <w:rPr>
                              <w:rFonts w:hint="eastAsia" w:eastAsia="宋体"/>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LNJWO7QAAAABQEAAA8AAAAAAAAA&#10;AQAgAAAAIgAAAGRycy9kb3ducmV2LnhtbFBLAQIUABQAAAAIAIdO4kBMUE45GQIAACEEAAAOAAAA&#10;AAAAAAEAIAAAAB8BAABkcnMvZTJvRG9jLnhtbFBLBQYAAAAABgAGAFkBAACqBQAAAAA=&#10;">
              <v:fill on="f" focussize="0,0"/>
              <v:stroke on="f" weight="0.5pt"/>
              <v:imagedata o:title=""/>
              <o:lock v:ext="edit" aspectratio="f"/>
              <v:textbox inset="0mm,0mm,0mm,0mm" style="mso-fit-shape-to-text:t;">
                <w:txbxContent>
                  <w:p>
                    <w:pPr>
                      <w:pStyle w:val="8"/>
                      <w:rPr>
                        <w:rFonts w:hint="eastAsia" w:eastAsia="宋体"/>
                        <w:lang w:eastAsia="zh-CN"/>
                      </w:rPr>
                    </w:pPr>
                    <w:r>
                      <w:rPr>
                        <w:rFonts w:hint="eastAsia" w:eastAsia="宋体"/>
                        <w:lang w:eastAsia="zh-CN"/>
                      </w:rPr>
                      <w:t xml:space="preserve">—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r>
                      <w:rPr>
                        <w:rFonts w:hint="eastAsia" w:eastAsia="宋体"/>
                        <w:lang w:eastAsia="zh-CN"/>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BF754BF"/>
    <w:rsid w:val="53E964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99"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keepNext/>
      <w:keepLines/>
      <w:spacing w:before="340" w:beforeLines="0" w:after="330" w:afterLines="0" w:line="576" w:lineRule="auto"/>
      <w:outlineLvl w:val="0"/>
    </w:pPr>
    <w:rPr>
      <w:kern w:val="44"/>
      <w:sz w:val="44"/>
      <w:szCs w:val="44"/>
    </w:rPr>
  </w:style>
  <w:style w:type="character" w:default="1" w:styleId="13">
    <w:name w:val="Default Paragraph Font"/>
    <w:link w:val="14"/>
    <w:semiHidden/>
    <w:uiPriority w:val="0"/>
  </w:style>
  <w:style w:type="table" w:default="1" w:styleId="12">
    <w:name w:val="Normal Table"/>
    <w:semiHidden/>
    <w:qFormat/>
    <w:uiPriority w:val="0"/>
    <w:tblPr>
      <w:tblLayout w:type="fixed"/>
      <w:tblCellMar>
        <w:top w:w="0" w:type="dxa"/>
        <w:left w:w="108" w:type="dxa"/>
        <w:bottom w:w="0" w:type="dxa"/>
        <w:right w:w="108" w:type="dxa"/>
      </w:tblCellMar>
    </w:tblPr>
  </w:style>
  <w:style w:type="paragraph" w:styleId="2">
    <w:name w:val="Plain Text"/>
    <w:basedOn w:val="1"/>
    <w:qFormat/>
    <w:uiPriority w:val="99"/>
    <w:rPr>
      <w:rFonts w:ascii="宋体" w:hAnsi="Courier New" w:cs="黑体"/>
    </w:rPr>
  </w:style>
  <w:style w:type="paragraph" w:styleId="4">
    <w:name w:val="index 5"/>
    <w:basedOn w:val="1"/>
    <w:next w:val="1"/>
    <w:semiHidden/>
    <w:qFormat/>
    <w:uiPriority w:val="99"/>
    <w:pPr>
      <w:spacing w:line="576" w:lineRule="exact"/>
    </w:pPr>
    <w:rPr>
      <w:rFonts w:ascii="仿宋_GB2312" w:hAnsi="仿宋_GB2312" w:eastAsia="黑体" w:cs="仿宋_GB2312"/>
      <w:color w:val="FF0000"/>
    </w:rPr>
  </w:style>
  <w:style w:type="paragraph" w:styleId="5">
    <w:name w:val="Body Text"/>
    <w:basedOn w:val="1"/>
    <w:next w:val="4"/>
    <w:qFormat/>
    <w:uiPriority w:val="0"/>
    <w:pPr>
      <w:widowControl w:val="0"/>
      <w:spacing w:after="120" w:line="240" w:lineRule="auto"/>
      <w:jc w:val="both"/>
    </w:pPr>
    <w:rPr>
      <w:rFonts w:ascii="Calibri" w:hAnsi="Calibri" w:eastAsia="宋体" w:cs="Times New Roman"/>
      <w:kern w:val="2"/>
      <w:sz w:val="21"/>
      <w:lang w:val="en-US"/>
    </w:rPr>
  </w:style>
  <w:style w:type="paragraph" w:styleId="6">
    <w:name w:val="Body Text Indent"/>
    <w:basedOn w:val="1"/>
    <w:next w:val="1"/>
    <w:uiPriority w:val="0"/>
    <w:pPr>
      <w:ind w:firstLine="630"/>
    </w:pPr>
    <w:rPr>
      <w:rFonts w:eastAsia="仿宋_GB2312"/>
      <w:b/>
      <w:sz w:val="32"/>
    </w:rPr>
  </w:style>
  <w:style w:type="paragraph" w:styleId="7">
    <w:name w:val="Body Text Indent 2"/>
    <w:basedOn w:val="1"/>
    <w:uiPriority w:val="0"/>
    <w:pPr>
      <w:spacing w:after="120" w:afterLines="0" w:line="480" w:lineRule="auto"/>
      <w:ind w:left="420" w:leftChars="200"/>
    </w:pPr>
  </w:style>
  <w:style w:type="paragraph" w:styleId="8">
    <w:name w:val="footer"/>
    <w:basedOn w:val="1"/>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uiPriority w:val="0"/>
    <w:pPr>
      <w:spacing w:before="100" w:beforeAutospacing="1" w:after="100" w:afterAutospacing="1"/>
      <w:ind w:left="0" w:right="0"/>
      <w:jc w:val="left"/>
    </w:pPr>
    <w:rPr>
      <w:kern w:val="0"/>
      <w:sz w:val="24"/>
      <w:lang w:val="en-US" w:eastAsia="zh-CN" w:bidi="ar"/>
    </w:rPr>
  </w:style>
  <w:style w:type="paragraph" w:styleId="11">
    <w:name w:val="Body Text First Indent 2"/>
    <w:basedOn w:val="6"/>
    <w:qFormat/>
    <w:uiPriority w:val="0"/>
    <w:pPr>
      <w:ind w:firstLine="420" w:firstLineChars="200"/>
    </w:pPr>
    <w:rPr>
      <w:rFonts w:cs="Times New Roman"/>
    </w:rPr>
  </w:style>
  <w:style w:type="paragraph" w:customStyle="1" w:styleId="14">
    <w:name w:val=" Char Char Char Char Char Char Char"/>
    <w:basedOn w:val="1"/>
    <w:link w:val="13"/>
    <w:qFormat/>
    <w:uiPriority w:val="0"/>
    <w:pPr>
      <w:snapToGrid w:val="0"/>
      <w:spacing w:line="360" w:lineRule="auto"/>
      <w:ind w:firstLine="200" w:firstLineChars="200"/>
    </w:pPr>
  </w:style>
  <w:style w:type="character" w:styleId="15">
    <w:name w:val="page number"/>
    <w:basedOn w:val="13"/>
    <w:qFormat/>
    <w:uiPriority w:val="0"/>
  </w:style>
  <w:style w:type="character" w:styleId="16">
    <w:name w:val="FollowedHyperlink"/>
    <w:basedOn w:val="13"/>
    <w:uiPriority w:val="0"/>
    <w:rPr>
      <w:rFonts w:cs="Times New Roman"/>
      <w:color w:val="954F72"/>
      <w:u w:val="single"/>
    </w:rPr>
  </w:style>
  <w:style w:type="paragraph" w:customStyle="1" w:styleId="17">
    <w:name w:val="正文样式"/>
    <w:basedOn w:val="1"/>
    <w:qFormat/>
    <w:uiPriority w:val="7"/>
    <w:pPr>
      <w:ind w:firstLine="480" w:firstLineChars="200"/>
    </w:pPr>
    <w:rPr>
      <w:sz w:val="24"/>
      <w:szCs w:val="24"/>
    </w:rPr>
  </w:style>
  <w:style w:type="paragraph" w:customStyle="1" w:styleId="18">
    <w:name w:val="Normal Indent"/>
    <w:basedOn w:val="1"/>
    <w:qFormat/>
    <w:uiPriority w:val="0"/>
    <w:pPr>
      <w:ind w:firstLine="200" w:firstLineChars="200"/>
    </w:pPr>
    <w:rPr>
      <w:rFonts w:eastAsia="楷体_GB2312"/>
    </w:rPr>
  </w:style>
  <w:style w:type="paragraph" w:customStyle="1" w:styleId="19">
    <w:name w:val="正文缩进1"/>
    <w:basedOn w:val="1"/>
    <w:qFormat/>
    <w:uiPriority w:val="0"/>
    <w:pPr>
      <w:ind w:firstLine="200" w:firstLineChars="200"/>
    </w:pPr>
    <w:rPr>
      <w:rFonts w:eastAsia="楷体_GB2312"/>
    </w:rPr>
  </w:style>
  <w:style w:type="character" w:customStyle="1" w:styleId="20">
    <w:name w:val="fontstyle01"/>
    <w:basedOn w:val="13"/>
    <w:qFormat/>
    <w:uiPriority w:val="0"/>
    <w:rPr>
      <w:rFonts w:ascii="TT10Do00" w:hAnsi="TT10Do00" w:eastAsia="TT10Do00" w:cs="TT10Do00"/>
      <w:color w:val="000000"/>
      <w:sz w:val="28"/>
      <w:szCs w:val="28"/>
    </w:rPr>
  </w:style>
  <w:style w:type="character" w:customStyle="1" w:styleId="21">
    <w:name w:val="NormalCharacter"/>
    <w:link w:val="22"/>
    <w:semiHidden/>
    <w:qFormat/>
    <w:uiPriority w:val="0"/>
  </w:style>
  <w:style w:type="paragraph" w:customStyle="1" w:styleId="22">
    <w:name w:val="UserStyle_45"/>
    <w:basedOn w:val="1"/>
    <w:link w:val="21"/>
    <w:qFormat/>
    <w:uiPriority w:val="0"/>
    <w:pPr>
      <w:widowControl/>
      <w:spacing w:after="160" w:line="240" w:lineRule="exact"/>
      <w:jc w:val="left"/>
      <w:textAlignment w:val="baseline"/>
    </w:pPr>
  </w:style>
  <w:style w:type="paragraph" w:customStyle="1" w:styleId="23">
    <w:name w:val="列出段落1"/>
    <w:basedOn w:val="1"/>
    <w:qFormat/>
    <w:uiPriority w:val="0"/>
    <w:pPr>
      <w:ind w:firstLine="20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2023-01-12T09:07:00Z</dcterms:created>
  <dc:creator>yu123</dc:creator>
  <cp:lastModifiedBy>yu123</cp:lastModifiedBy>
  <dcterms:modified xsi:type="dcterms:W3CDTF">2023-01-13T02:02:29Z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