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0" w:beforeLines="0" w:after="0" w:afterLines="0" w:line="120" w:lineRule="exact"/>
        <w:ind w:right="0" w:rightChars="0"/>
        <w:jc w:val="both"/>
        <w:textAlignment w:val="auto"/>
        <w:outlineLvl w:val="9"/>
        <w:rPr>
          <w:rFonts w:hint="default" w:ascii="Times New Roman" w:hAnsi="Times New Roman" w:eastAsia="仿宋_GB2312" w:cs="Times New Roman"/>
          <w:sz w:val="32"/>
          <w:szCs w:val="32"/>
        </w:rPr>
      </w:pPr>
      <w:bookmarkStart w:id="7" w:name="_GoBack"/>
      <w:bookmarkEnd w:id="7"/>
    </w:p>
    <w:p>
      <w:pPr>
        <w:keepNext w:val="0"/>
        <w:keepLines w:val="0"/>
        <w:pageBreakBefore w:val="0"/>
        <w:widowControl w:val="0"/>
        <w:kinsoku/>
        <w:wordWrap/>
        <w:overflowPunct/>
        <w:topLinePunct w:val="0"/>
        <w:autoSpaceDE/>
        <w:autoSpaceDN/>
        <w:bidi w:val="0"/>
        <w:adjustRightInd/>
        <w:snapToGrid/>
        <w:spacing w:before="0" w:beforeLines="0" w:after="0" w:afterLines="0" w:line="120" w:lineRule="exact"/>
        <w:ind w:left="0" w:leftChars="0" w:right="0" w:rightChars="0" w:firstLine="5688" w:firstLineChars="1800"/>
        <w:jc w:val="both"/>
        <w:textAlignment w:val="auto"/>
        <w:outlineLvl w:val="9"/>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120" w:lineRule="exact"/>
        <w:ind w:left="0" w:leftChars="0" w:right="0" w:rightChars="0" w:firstLine="5688" w:firstLineChars="1800"/>
        <w:jc w:val="both"/>
        <w:textAlignment w:val="auto"/>
        <w:outlineLvl w:val="9"/>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w w:val="90"/>
          <w:sz w:val="44"/>
          <w:szCs w:val="44"/>
          <w:lang w:eastAsia="zh-CN"/>
        </w:rPr>
      </w:pPr>
      <w:r>
        <w:rPr>
          <w:rFonts w:hint="eastAsia" w:ascii="方正小标宋简体" w:hAnsi="方正小标宋简体" w:eastAsia="方正小标宋简体" w:cs="方正小标宋简体"/>
          <w:b w:val="0"/>
          <w:bCs w:val="0"/>
          <w:color w:val="auto"/>
          <w:spacing w:val="0"/>
          <w:w w:val="90"/>
          <w:sz w:val="44"/>
          <w:szCs w:val="44"/>
          <w:lang w:eastAsia="zh-CN"/>
        </w:rPr>
        <w:t>中国（陕西）自由贸易试验区工作领导小组办公室</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eastAsia="zh-CN"/>
        </w:rPr>
      </w:pPr>
      <w:r>
        <w:rPr>
          <w:rFonts w:hint="eastAsia" w:ascii="方正小标宋简体" w:hAnsi="方正小标宋简体" w:eastAsia="方正小标宋简体" w:cs="方正小标宋简体"/>
          <w:b w:val="0"/>
          <w:bCs w:val="0"/>
          <w:color w:val="auto"/>
          <w:spacing w:val="0"/>
          <w:w w:val="96"/>
          <w:sz w:val="44"/>
          <w:szCs w:val="44"/>
          <w:lang w:eastAsia="zh-CN"/>
        </w:rPr>
        <w:t>关于印发</w:t>
      </w:r>
      <w:r>
        <w:rPr>
          <w:rFonts w:hint="eastAsia" w:ascii="方正小标宋简体" w:hAnsi="方正小标宋简体" w:eastAsia="方正小标宋简体" w:cs="方正小标宋简体"/>
          <w:b w:val="0"/>
          <w:bCs w:val="0"/>
          <w:color w:val="auto"/>
          <w:spacing w:val="0"/>
          <w:w w:val="96"/>
          <w:sz w:val="44"/>
          <w:szCs w:val="44"/>
          <w:lang w:val="en-US" w:eastAsia="zh-CN"/>
        </w:rPr>
        <w:t>2021年</w:t>
      </w:r>
      <w:r>
        <w:rPr>
          <w:rFonts w:hint="eastAsia" w:ascii="方正小标宋简体" w:hAnsi="方正小标宋简体" w:eastAsia="方正小标宋简体" w:cs="方正小标宋简体"/>
          <w:b w:val="0"/>
          <w:bCs w:val="0"/>
          <w:color w:val="auto"/>
          <w:spacing w:val="0"/>
          <w:w w:val="96"/>
          <w:sz w:val="44"/>
          <w:szCs w:val="44"/>
          <w:lang w:eastAsia="zh-CN"/>
        </w:rPr>
        <w:t>中国（陕西）自由贸易试验区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eastAsia="zh-CN"/>
        </w:rPr>
      </w:pPr>
      <w:r>
        <w:rPr>
          <w:rFonts w:hint="eastAsia" w:ascii="方正小标宋简体" w:hAnsi="方正小标宋简体" w:eastAsia="方正小标宋简体" w:cs="方正小标宋简体"/>
          <w:b w:val="0"/>
          <w:bCs w:val="0"/>
          <w:color w:val="auto"/>
          <w:spacing w:val="0"/>
          <w:sz w:val="44"/>
          <w:szCs w:val="44"/>
          <w:lang w:eastAsia="zh-CN"/>
        </w:rPr>
        <w:t>“最佳实践案例”的通知</w:t>
      </w:r>
    </w:p>
    <w:p>
      <w:pPr>
        <w:keepNext w:val="0"/>
        <w:keepLines w:val="0"/>
        <w:pageBreakBefore w:val="0"/>
        <w:widowControl w:val="0"/>
        <w:kinsoku/>
        <w:wordWrap/>
        <w:overflowPunct/>
        <w:topLinePunct w:val="0"/>
        <w:autoSpaceDE/>
        <w:autoSpaceDN/>
        <w:bidi w:val="0"/>
        <w:adjustRightInd/>
        <w:spacing w:line="560" w:lineRule="exact"/>
        <w:ind w:left="0" w:leftChars="0" w:right="0" w:rightChars="0"/>
        <w:textAlignment w:val="auto"/>
        <w:rPr>
          <w:rFonts w:hint="default" w:ascii="Times New Roman" w:hAnsi="Times New Roman" w:eastAsia="仿宋" w:cs="Times New Roman"/>
          <w:sz w:val="32"/>
          <w:szCs w:val="32"/>
        </w:rPr>
      </w:pPr>
    </w:p>
    <w:p>
      <w:pPr>
        <w:keepNext w:val="0"/>
        <w:keepLines w:val="0"/>
        <w:pageBreakBefore w:val="0"/>
        <w:widowControl w:val="0"/>
        <w:kinsoku/>
        <w:wordWrap/>
        <w:overflowPunct/>
        <w:topLinePunct w:val="0"/>
        <w:autoSpaceDE/>
        <w:autoSpaceDN/>
        <w:bidi w:val="0"/>
        <w:adjustRightInd/>
        <w:snapToGrid w:val="0"/>
        <w:spacing w:line="560" w:lineRule="exact"/>
        <w:ind w:right="0" w:rightChars="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各设区市人民政府，省人民政府各工作部门、各直属机构：</w:t>
      </w:r>
    </w:p>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32" w:firstLineChars="200"/>
        <w:textAlignment w:val="auto"/>
        <w:rPr>
          <w:rFonts w:hint="eastAsia" w:ascii="仿宋_GB2312" w:hAnsi="仿宋_GB2312" w:eastAsia="仿宋_GB2312" w:cs="仿宋_GB2312"/>
          <w:sz w:val="32"/>
          <w:szCs w:val="32"/>
        </w:rPr>
      </w:pPr>
      <w:r>
        <w:rPr>
          <w:rFonts w:hint="default" w:ascii="Times New Roman" w:hAnsi="Times New Roman" w:eastAsia="仿宋_GB2312" w:cs="Times New Roman"/>
          <w:sz w:val="32"/>
          <w:szCs w:val="32"/>
        </w:rPr>
        <w:t>建设自由贸易试验区是党中央在新</w:t>
      </w:r>
      <w:r>
        <w:rPr>
          <w:rFonts w:hint="default" w:ascii="Times New Roman" w:hAnsi="Times New Roman" w:eastAsia="仿宋_GB2312" w:cs="Times New Roman"/>
          <w:sz w:val="32"/>
          <w:szCs w:val="32"/>
          <w:lang w:val="en-US" w:eastAsia="zh-CN"/>
        </w:rPr>
        <w:t>时代推进改革开放</w:t>
      </w:r>
      <w:r>
        <w:rPr>
          <w:rFonts w:hint="default" w:ascii="Times New Roman" w:hAnsi="Times New Roman" w:eastAsia="仿宋_GB2312" w:cs="Times New Roman"/>
          <w:sz w:val="32"/>
          <w:szCs w:val="32"/>
        </w:rPr>
        <w:t>的</w:t>
      </w:r>
      <w:r>
        <w:rPr>
          <w:rFonts w:hint="default" w:ascii="Times New Roman" w:hAnsi="Times New Roman" w:eastAsia="仿宋_GB2312" w:cs="Times New Roman"/>
          <w:sz w:val="32"/>
          <w:szCs w:val="32"/>
          <w:lang w:val="en-US" w:eastAsia="zh-CN"/>
        </w:rPr>
        <w:t>重要</w:t>
      </w:r>
      <w:r>
        <w:rPr>
          <w:rFonts w:hint="default" w:ascii="Times New Roman" w:hAnsi="Times New Roman" w:eastAsia="仿宋_GB2312" w:cs="Times New Roman"/>
          <w:sz w:val="32"/>
          <w:szCs w:val="32"/>
        </w:rPr>
        <w:t>战略举措</w:t>
      </w:r>
      <w:r>
        <w:rPr>
          <w:rFonts w:hint="default" w:ascii="Times New Roman" w:hAnsi="Times New Roman" w:eastAsia="仿宋_GB2312" w:cs="Times New Roman"/>
          <w:sz w:val="32"/>
          <w:szCs w:val="32"/>
          <w:lang w:eastAsia="zh-CN"/>
        </w:rPr>
        <w:t>，在我国改革开放进程中具有里程碑意义</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去年</w:t>
      </w:r>
      <w:r>
        <w:rPr>
          <w:rFonts w:hint="default" w:ascii="Times New Roman" w:hAnsi="Times New Roman" w:eastAsia="仿宋_GB2312" w:cs="Times New Roman"/>
          <w:sz w:val="32"/>
          <w:szCs w:val="32"/>
          <w:lang w:eastAsia="zh-CN"/>
        </w:rPr>
        <w:t>以来，自贸试验区</w:t>
      </w:r>
      <w:r>
        <w:rPr>
          <w:rFonts w:hint="default" w:ascii="Times New Roman" w:hAnsi="Times New Roman" w:eastAsia="仿宋_GB2312" w:cs="Times New Roman"/>
          <w:sz w:val="32"/>
          <w:szCs w:val="32"/>
        </w:rPr>
        <w:t>各片区</w:t>
      </w:r>
      <w:r>
        <w:rPr>
          <w:rFonts w:hint="default" w:ascii="Times New Roman" w:hAnsi="Times New Roman" w:eastAsia="仿宋_GB2312" w:cs="Times New Roman"/>
          <w:sz w:val="32"/>
          <w:szCs w:val="32"/>
          <w:lang w:eastAsia="zh-CN"/>
        </w:rPr>
        <w:t>和协同创新区</w:t>
      </w:r>
      <w:r>
        <w:rPr>
          <w:rFonts w:hint="default" w:ascii="Times New Roman" w:hAnsi="Times New Roman" w:eastAsia="仿宋_GB2312" w:cs="Times New Roman"/>
          <w:sz w:val="32"/>
          <w:szCs w:val="32"/>
        </w:rPr>
        <w:t>所在市</w:t>
      </w:r>
      <w:r>
        <w:rPr>
          <w:rFonts w:hint="default" w:ascii="Times New Roman" w:hAnsi="Times New Roman" w:eastAsia="仿宋_GB2312" w:cs="Times New Roman"/>
          <w:sz w:val="32"/>
          <w:szCs w:val="32"/>
          <w:lang w:eastAsia="zh-CN"/>
        </w:rPr>
        <w:t>及</w:t>
      </w:r>
      <w:r>
        <w:rPr>
          <w:rFonts w:hint="default" w:ascii="Times New Roman" w:hAnsi="Times New Roman" w:eastAsia="仿宋_GB2312" w:cs="Times New Roman"/>
          <w:sz w:val="32"/>
          <w:szCs w:val="32"/>
        </w:rPr>
        <w:t>省</w:t>
      </w:r>
      <w:r>
        <w:rPr>
          <w:rFonts w:hint="default" w:ascii="Times New Roman" w:hAnsi="Times New Roman" w:eastAsia="仿宋_GB2312" w:cs="Times New Roman"/>
          <w:sz w:val="32"/>
          <w:szCs w:val="32"/>
          <w:lang w:eastAsia="zh-CN"/>
        </w:rPr>
        <w:t>级各</w:t>
      </w:r>
      <w:r>
        <w:rPr>
          <w:rFonts w:hint="default" w:ascii="Times New Roman" w:hAnsi="Times New Roman" w:eastAsia="仿宋_GB2312" w:cs="Times New Roman"/>
          <w:sz w:val="32"/>
          <w:szCs w:val="32"/>
        </w:rPr>
        <w:t>有关部门认真贯彻落实党中央、国务院决策部署和省委、省政府工作要求，</w:t>
      </w:r>
      <w:r>
        <w:rPr>
          <w:rFonts w:hint="default" w:ascii="Times New Roman" w:hAnsi="Times New Roman" w:eastAsia="仿宋_GB2312" w:cs="Times New Roman"/>
          <w:sz w:val="32"/>
          <w:szCs w:val="32"/>
          <w:lang w:eastAsia="zh-CN"/>
        </w:rPr>
        <w:t>锐意进取</w:t>
      </w:r>
      <w:r>
        <w:rPr>
          <w:rFonts w:hint="default" w:ascii="Times New Roman" w:hAnsi="Times New Roman" w:eastAsia="仿宋_GB2312" w:cs="Times New Roman"/>
          <w:sz w:val="32"/>
          <w:szCs w:val="32"/>
        </w:rPr>
        <w:t>、大胆创新，在政府职能转变、通关便利化改革</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开放通道建设、人文交流合作、金融改革创新、产业高质量发展等多</w:t>
      </w:r>
      <w:r>
        <w:rPr>
          <w:rFonts w:hint="default" w:ascii="Times New Roman" w:hAnsi="Times New Roman" w:eastAsia="仿宋_GB2312" w:cs="Times New Roman"/>
          <w:sz w:val="32"/>
          <w:szCs w:val="32"/>
          <w:lang w:eastAsia="zh-CN"/>
        </w:rPr>
        <w:t>方面</w:t>
      </w:r>
      <w:r>
        <w:rPr>
          <w:rFonts w:hint="default" w:ascii="Times New Roman" w:hAnsi="Times New Roman" w:eastAsia="仿宋_GB2312" w:cs="Times New Roman"/>
          <w:sz w:val="32"/>
          <w:szCs w:val="32"/>
          <w:lang w:val="en-US" w:eastAsia="zh-CN"/>
        </w:rPr>
        <w:t>探索</w:t>
      </w:r>
      <w:r>
        <w:rPr>
          <w:rFonts w:hint="default" w:ascii="Times New Roman" w:hAnsi="Times New Roman" w:eastAsia="仿宋_GB2312" w:cs="Times New Roman"/>
          <w:sz w:val="32"/>
          <w:szCs w:val="32"/>
        </w:rPr>
        <w:t>形成了一批制度创新性强、</w:t>
      </w:r>
      <w:r>
        <w:rPr>
          <w:rFonts w:hint="eastAsia" w:ascii="仿宋_GB2312" w:hAnsi="仿宋_GB2312" w:eastAsia="仿宋_GB2312" w:cs="仿宋_GB2312"/>
          <w:sz w:val="32"/>
          <w:szCs w:val="32"/>
        </w:rPr>
        <w:t>市场主体</w:t>
      </w:r>
      <w:r>
        <w:rPr>
          <w:rFonts w:hint="eastAsia" w:ascii="仿宋_GB2312" w:hAnsi="仿宋_GB2312" w:eastAsia="仿宋_GB2312" w:cs="仿宋_GB2312"/>
          <w:sz w:val="32"/>
          <w:szCs w:val="32"/>
          <w:lang w:eastAsia="zh-CN"/>
        </w:rPr>
        <w:t>反映</w:t>
      </w:r>
      <w:r>
        <w:rPr>
          <w:rFonts w:hint="eastAsia" w:ascii="仿宋_GB2312" w:hAnsi="仿宋_GB2312" w:eastAsia="仿宋_GB2312" w:cs="仿宋_GB2312"/>
          <w:sz w:val="32"/>
          <w:szCs w:val="32"/>
        </w:rPr>
        <w:t>好的</w:t>
      </w:r>
      <w:r>
        <w:rPr>
          <w:rFonts w:hint="eastAsia" w:ascii="仿宋_GB2312" w:hAnsi="仿宋_GB2312" w:eastAsia="仿宋_GB2312" w:cs="仿宋_GB2312"/>
          <w:sz w:val="32"/>
          <w:szCs w:val="32"/>
          <w:lang w:eastAsia="zh-CN"/>
        </w:rPr>
        <w:t>经验做法</w:t>
      </w:r>
      <w:r>
        <w:rPr>
          <w:rFonts w:hint="eastAsia" w:ascii="仿宋_GB2312" w:hAnsi="仿宋_GB2312" w:eastAsia="仿宋_GB2312" w:cs="仿宋_GB2312"/>
          <w:sz w:val="32"/>
          <w:szCs w:val="32"/>
        </w:rPr>
        <w:t>。中国（陕西）自由贸易试验区工作办公室</w:t>
      </w:r>
      <w:r>
        <w:rPr>
          <w:rFonts w:hint="eastAsia" w:ascii="仿宋_GB2312" w:hAnsi="仿宋_GB2312" w:eastAsia="仿宋_GB2312" w:cs="仿宋_GB2312"/>
          <w:sz w:val="32"/>
          <w:szCs w:val="32"/>
          <w:lang w:eastAsia="zh-CN"/>
        </w:rPr>
        <w:t>将成效较为突出的</w:t>
      </w:r>
      <w:r>
        <w:rPr>
          <w:rFonts w:hint="eastAsia" w:ascii="仿宋_GB2312" w:hAnsi="仿宋_GB2312" w:eastAsia="仿宋_GB2312" w:cs="仿宋_GB2312"/>
          <w:sz w:val="32"/>
          <w:szCs w:val="32"/>
          <w:lang w:val="en-US" w:eastAsia="zh-CN"/>
        </w:rPr>
        <w:t>15个</w:t>
      </w:r>
      <w:r>
        <w:rPr>
          <w:rFonts w:hint="default" w:ascii="Times New Roman" w:hAnsi="Times New Roman" w:eastAsia="仿宋_GB2312" w:cs="Times New Roman"/>
          <w:sz w:val="32"/>
          <w:szCs w:val="32"/>
          <w:lang w:val="en-US" w:eastAsia="zh-CN"/>
        </w:rPr>
        <w:t>案例编撰形</w:t>
      </w:r>
      <w:r>
        <w:rPr>
          <w:rFonts w:hint="eastAsia" w:ascii="仿宋_GB2312" w:hAnsi="仿宋_GB2312" w:eastAsia="仿宋_GB2312" w:cs="仿宋_GB2312"/>
          <w:sz w:val="32"/>
          <w:szCs w:val="32"/>
          <w:lang w:val="en-US" w:eastAsia="zh-CN"/>
        </w:rPr>
        <w:t>成2021年中国（陕西）自由贸易试验区“最佳实践案例”</w:t>
      </w:r>
      <w:r>
        <w:rPr>
          <w:rFonts w:hint="eastAsia" w:ascii="仿宋_GB2312" w:hAnsi="仿宋_GB2312" w:eastAsia="仿宋_GB2312" w:cs="仿宋_GB2312"/>
          <w:sz w:val="32"/>
          <w:szCs w:val="32"/>
          <w:lang w:eastAsia="zh-CN"/>
        </w:rPr>
        <w:t>，经省政府同意，</w:t>
      </w:r>
      <w:r>
        <w:rPr>
          <w:rFonts w:hint="eastAsia" w:ascii="仿宋_GB2312" w:hAnsi="仿宋_GB2312" w:eastAsia="仿宋_GB2312" w:cs="仿宋_GB2312"/>
          <w:sz w:val="32"/>
          <w:szCs w:val="32"/>
        </w:rPr>
        <w:t>现予以印发，供各单位在深化改革、扩大开放过程中学习借鉴。</w:t>
      </w:r>
    </w:p>
    <w:p>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lang w:val="en-US" w:eastAsia="zh-CN"/>
        </w:rPr>
      </w:pP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系</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人：孙嘉晨  </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63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lang w:val="en-US" w:eastAsia="zh-CN"/>
        </w:rPr>
        <w:t>63914098</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3792" w:firstLineChars="1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中国（陕西）自由贸易试验区工作</w:t>
      </w:r>
    </w:p>
    <w:p>
      <w:pPr>
        <w:keepNext w:val="0"/>
        <w:keepLines w:val="0"/>
        <w:pageBreakBefore w:val="0"/>
        <w:widowControl w:val="0"/>
        <w:kinsoku/>
        <w:wordWrap/>
        <w:overflowPunct/>
        <w:topLinePunct w:val="0"/>
        <w:autoSpaceDE/>
        <w:autoSpaceDN/>
        <w:bidi w:val="0"/>
        <w:adjustRightInd/>
        <w:snapToGrid w:val="0"/>
        <w:spacing w:line="560" w:lineRule="exact"/>
        <w:ind w:right="0" w:rightChars="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领导小组办公室（代章）</w:t>
      </w:r>
    </w:p>
    <w:p>
      <w:pPr>
        <w:pStyle w:val="19"/>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 w:eastAsia="zh-CN"/>
        </w:rPr>
      </w:pPr>
      <w:r>
        <w:rPr>
          <w:rFonts w:hint="default"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 xml:space="preserve">  </w:t>
      </w:r>
      <w:r>
        <w:rPr>
          <w:rFonts w:hint="eastAsia" w:ascii="仿宋_GB2312" w:hAnsi="仿宋_GB2312" w:eastAsia="仿宋_GB2312" w:cs="仿宋_GB2312"/>
          <w:sz w:val="32"/>
          <w:szCs w:val="32"/>
          <w:lang w:val="en-US" w:eastAsia="zh-CN"/>
        </w:rPr>
        <w:t xml:space="preserve">     2022年5月11</w:t>
      </w:r>
      <w:r>
        <w:rPr>
          <w:rFonts w:hint="eastAsia" w:ascii="仿宋_GB2312" w:hAnsi="仿宋_GB2312" w:eastAsia="仿宋_GB2312" w:cs="仿宋_GB2312"/>
          <w:sz w:val="32"/>
          <w:szCs w:val="32"/>
          <w:lang w:val="en" w:eastAsia="zh-CN"/>
        </w:rPr>
        <w:t>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val="en-US" w:eastAsia="zh-CN"/>
        </w:rPr>
        <w:sectPr>
          <w:headerReference r:id="rId3" w:type="default"/>
          <w:footerReference r:id="rId4" w:type="default"/>
          <w:pgSz w:w="11906" w:h="16838"/>
          <w:pgMar w:top="2098" w:right="1474" w:bottom="1984" w:left="1587" w:header="850" w:footer="1389" w:gutter="0"/>
          <w:pgNumType w:fmt="decimal"/>
          <w:cols w:space="720" w:num="1"/>
          <w:rtlGutter w:val="0"/>
          <w:docGrid w:type="linesAndChars" w:linePitch="607" w:charSpace="-1024"/>
        </w:sectPr>
      </w:pPr>
    </w:p>
    <w:p>
      <w:pPr>
        <w:pStyle w:val="5"/>
        <w:keepNext w:val="0"/>
        <w:keepLines w:val="0"/>
        <w:pageBreakBefore w:val="0"/>
        <w:widowControl w:val="0"/>
        <w:kinsoku/>
        <w:wordWrap/>
        <w:overflowPunct/>
        <w:topLinePunct w:val="0"/>
        <w:bidi w:val="0"/>
        <w:spacing w:after="0" w:afterLines="0" w:line="560" w:lineRule="exact"/>
        <w:rPr>
          <w:rFonts w:hint="eastAsia"/>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案例1</w:t>
      </w:r>
    </w:p>
    <w:p>
      <w:pPr>
        <w:pStyle w:val="5"/>
        <w:keepNext w:val="0"/>
        <w:keepLines w:val="0"/>
        <w:pageBreakBefore w:val="0"/>
        <w:widowControl w:val="0"/>
        <w:kinsoku/>
        <w:wordWrap/>
        <w:overflowPunct/>
        <w:topLinePunct w:val="0"/>
        <w:bidi w:val="0"/>
        <w:spacing w:after="0" w:afterLines="0" w:line="560" w:lineRule="exact"/>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default" w:ascii="Times New Roman" w:hAnsi="Times New Roman" w:eastAsia="方正小标宋简体" w:cs="Times New Roman"/>
          <w:b w:val="0"/>
          <w:bCs w:val="0"/>
          <w:color w:val="auto"/>
          <w:spacing w:val="0"/>
          <w:sz w:val="44"/>
          <w:szCs w:val="44"/>
          <w:lang w:val="en-US" w:eastAsia="zh-CN"/>
        </w:rPr>
        <w:t>“三通”税务集成服务体系</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Fonts w:hint="default" w:ascii="Times New Roman" w:hAnsi="Times New Roman" w:eastAsia="仿宋_GB2312" w:cs="Times New Roman"/>
          <w:sz w:val="32"/>
          <w:szCs w:val="32"/>
          <w:lang w:val="en-US" w:eastAsia="zh-CN"/>
        </w:rPr>
      </w:pPr>
      <w:bookmarkStart w:id="0" w:name="_Toc27375"/>
      <w:bookmarkStart w:id="1" w:name="_Toc10548"/>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eastAsia" w:ascii="仿宋_GB2312" w:hAnsi="仿宋_GB2312" w:eastAsia="仿宋_GB2312" w:cs="仿宋_GB2312"/>
          <w:sz w:val="32"/>
          <w:szCs w:val="32"/>
          <w:lang w:val="en-US" w:eastAsia="zh-CN"/>
        </w:rPr>
      </w:pPr>
      <w:r>
        <w:rPr>
          <w:rStyle w:val="21"/>
          <w:rFonts w:hint="eastAsia" w:ascii="仿宋_GB2312" w:hAnsi="仿宋_GB2312" w:eastAsia="仿宋_GB2312" w:cs="仿宋_GB2312"/>
          <w:sz w:val="32"/>
          <w:szCs w:val="32"/>
          <w:lang w:val="en-US" w:eastAsia="zh-CN"/>
        </w:rPr>
        <w:t>为进一步优化税收服务职能，更好地服务市场主体，陕西自贸试验区西安经开区功能区通过打造“云税通”可视化办税平台、“掌上通”税企交流新通道和“一线通”便民服务热线，形成了以纳税人为中心的新型税务集成服务体系，为纳税人提供更加便利、高效、优质的服务。该做法获得了国家税务总局的肯定，目前已在西安市22个办税服务厅全面复制推广。</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一、主要做法</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Style w:val="21"/>
          <w:rFonts w:hint="default" w:ascii="仿宋_GB2312" w:hAnsi="仿宋_GB2312" w:eastAsia="仿宋_GB2312" w:cs="仿宋_GB2312"/>
          <w:sz w:val="32"/>
          <w:szCs w:val="32"/>
          <w:lang w:val="en-US" w:eastAsia="zh-CN"/>
        </w:rPr>
      </w:pPr>
      <w:r>
        <w:rPr>
          <w:rStyle w:val="21"/>
          <w:rFonts w:hint="eastAsia" w:ascii="楷体_GB2312" w:hAnsi="楷体_GB2312" w:eastAsia="楷体_GB2312" w:cs="楷体_GB2312"/>
          <w:b w:val="0"/>
          <w:bCs w:val="0"/>
          <w:sz w:val="32"/>
          <w:szCs w:val="32"/>
          <w:lang w:val="en-US" w:eastAsia="zh-CN" w:bidi="zh-CN"/>
        </w:rPr>
        <w:t>（一）首创“云税通”可视化办税平台。</w:t>
      </w:r>
      <w:r>
        <w:rPr>
          <w:rStyle w:val="21"/>
          <w:rFonts w:hint="default" w:ascii="仿宋_GB2312" w:hAnsi="仿宋_GB2312" w:eastAsia="仿宋_GB2312" w:cs="仿宋_GB2312"/>
          <w:sz w:val="32"/>
          <w:szCs w:val="32"/>
          <w:lang w:val="en-US" w:eastAsia="zh-CN"/>
        </w:rPr>
        <w:t>建设“云税通”可视化办税平台，解决了“电子税务局”现阶段无法受理部分高频涉税业务的问题。纳税人通过电脑或手机与税务端工作人员视频连线，音视频远程交互，涉税资料在线传送，实现涉税业务全程网上办理；工作人员凭借“一人双机”（内外网）工作模式，通过视频身份核实、电子档案截屏等“云流转”方式完成办税资料的核验，审核审批的“电子原件”直接归档，全程无纸化办公。</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Fonts w:hint="default" w:ascii="Times New Roman" w:hAnsi="Times New Roman" w:eastAsia="仿宋_GB2312" w:cs="Times New Roman"/>
          <w:sz w:val="32"/>
          <w:szCs w:val="32"/>
          <w:lang w:val="en-US" w:eastAsia="zh-CN"/>
        </w:rPr>
      </w:pPr>
      <w:r>
        <w:rPr>
          <w:rStyle w:val="21"/>
          <w:rFonts w:hint="default" w:ascii="楷体_GB2312" w:hAnsi="楷体_GB2312" w:eastAsia="楷体_GB2312" w:cs="楷体_GB2312"/>
          <w:b w:val="0"/>
          <w:bCs w:val="0"/>
          <w:sz w:val="32"/>
          <w:szCs w:val="32"/>
          <w:lang w:val="en-US" w:eastAsia="zh-CN" w:bidi="zh-CN"/>
        </w:rPr>
        <w:t>（二）构建“掌上通”税企交流新通道。</w:t>
      </w:r>
      <w:r>
        <w:rPr>
          <w:rStyle w:val="21"/>
          <w:rFonts w:hint="default" w:ascii="仿宋_GB2312" w:hAnsi="仿宋_GB2312" w:eastAsia="仿宋_GB2312" w:cs="仿宋_GB2312"/>
          <w:sz w:val="32"/>
          <w:szCs w:val="32"/>
          <w:lang w:val="en-US" w:eastAsia="zh-CN"/>
        </w:rPr>
        <w:t>打造“掌上通”移动服务平台，进一步畅通税务部门和企业交流互动通道。开设办税提醒、税收公告、催报催缴、涉税通知、文书送达等模块，实现税收专管员线上“一对多”服务功能。开发智能机器人“税博士”，将相关涉税事项的办理条件、流程、窗口、日历等进行整合，实现7×24小时全天候在线咨询服务。同时，开设“纳税人在线小学堂”，减税降费、小微企业税收优惠等政策“随时看、随时学、随时问”，纳税人足不出户便可“一掌尽知”各类税费知识。</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Style w:val="21"/>
          <w:rFonts w:hint="default" w:ascii="仿宋_GB2312" w:hAnsi="仿宋_GB2312" w:eastAsia="仿宋_GB2312" w:cs="仿宋_GB2312"/>
          <w:sz w:val="32"/>
          <w:szCs w:val="32"/>
          <w:lang w:val="en-US" w:eastAsia="zh-CN"/>
        </w:rPr>
      </w:pPr>
      <w:r>
        <w:rPr>
          <w:rStyle w:val="21"/>
          <w:rFonts w:hint="default" w:ascii="楷体_GB2312" w:hAnsi="楷体_GB2312" w:eastAsia="楷体_GB2312" w:cs="楷体_GB2312"/>
          <w:b w:val="0"/>
          <w:bCs w:val="0"/>
          <w:sz w:val="32"/>
          <w:szCs w:val="32"/>
          <w:lang w:val="en-US" w:eastAsia="zh-CN" w:bidi="zh-CN"/>
        </w:rPr>
        <w:t>（三）推出“一线通”便民服务热线。</w:t>
      </w:r>
      <w:r>
        <w:rPr>
          <w:rStyle w:val="21"/>
          <w:rFonts w:hint="default" w:ascii="仿宋_GB2312" w:hAnsi="仿宋_GB2312" w:eastAsia="仿宋_GB2312" w:cs="仿宋_GB2312"/>
          <w:sz w:val="32"/>
          <w:szCs w:val="32"/>
          <w:lang w:val="en-US" w:eastAsia="zh-CN"/>
        </w:rPr>
        <w:t>设立“一线通”便民办税服务热线，组建专业化的“十人十线”服务新团队，制定“受理－转办－办理－回复－回访”的工作流程，形成“一号对外、集中受理、分类处置、各方联动、及时反馈”的“一线通”全领域综合性的专业咨询模式。为纳税人提供精准的税法、税控、社保等方面的咨询服务，并可直接在线办理个税密码发放与重置、居民医保登记等简易高频业务。</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二、实践效果</w:t>
      </w:r>
      <w:bookmarkEnd w:id="0"/>
      <w:bookmarkEnd w:id="1"/>
    </w:p>
    <w:p>
      <w:pPr>
        <w:keepNext w:val="0"/>
        <w:keepLines w:val="0"/>
        <w:pageBreakBefore w:val="0"/>
        <w:widowControl w:val="0"/>
        <w:kinsoku/>
        <w:wordWrap/>
        <w:overflowPunct/>
        <w:topLinePunct w:val="0"/>
        <w:bidi w:val="0"/>
        <w:spacing w:line="560" w:lineRule="exact"/>
        <w:ind w:left="0" w:leftChars="0" w:right="0" w:rightChars="0" w:firstLine="640" w:firstLineChars="200"/>
        <w:rPr>
          <w:rFonts w:hint="eastAsia" w:ascii="仿宋_GB2312" w:hAnsi="仿宋_GB2312" w:eastAsia="仿宋_GB2312" w:cs="仿宋_GB2312"/>
          <w:sz w:val="32"/>
          <w:szCs w:val="32"/>
          <w:lang w:val="en-US" w:eastAsia="zh-CN"/>
        </w:rPr>
      </w:pPr>
      <w:r>
        <w:rPr>
          <w:rStyle w:val="21"/>
          <w:rFonts w:hint="eastAsia" w:ascii="仿宋_GB2312" w:hAnsi="仿宋_GB2312" w:eastAsia="仿宋_GB2312" w:cs="仿宋_GB2312"/>
          <w:sz w:val="32"/>
          <w:szCs w:val="32"/>
          <w:lang w:val="en-US" w:eastAsia="zh-CN"/>
        </w:rPr>
        <w:t>上线以来，“掌上通”平台共计举办网络直播课堂39期，累计观看人数两万余人，累计推送各类文章、文档、课件、视频近千篇，覆盖全区5万余户纳税人；“一线通”接通来电29.7万余通；“云税通”办理的原窗口高频事项占总量的91%，已为9980余户纳税人办理1.3万余笔涉税业务。</w:t>
      </w:r>
    </w:p>
    <w:p>
      <w:pPr>
        <w:keepNext w:val="0"/>
        <w:keepLines w:val="0"/>
        <w:pageBreakBefore w:val="0"/>
        <w:widowControl w:val="0"/>
        <w:kinsoku/>
        <w:wordWrap/>
        <w:overflowPunct/>
        <w:topLinePunct w:val="0"/>
        <w:bidi w:val="0"/>
        <w:spacing w:line="560" w:lineRule="exact"/>
        <w:ind w:left="0" w:leftChars="0" w:right="0" w:rightChars="0" w:firstLine="640" w:firstLineChars="200"/>
        <w:jc w:val="both"/>
        <w:rPr>
          <w:rFonts w:hint="default" w:ascii="Times New Roman" w:hAnsi="Times New Roman" w:eastAsia="仿宋_GB2312" w:cs="Times New Roman"/>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（一）服务更优质。</w:t>
      </w:r>
      <w:r>
        <w:rPr>
          <w:rStyle w:val="21"/>
          <w:rFonts w:hint="default" w:ascii="仿宋_GB2312" w:hAnsi="仿宋_GB2312" w:eastAsia="仿宋_GB2312" w:cs="仿宋_GB2312"/>
          <w:sz w:val="32"/>
          <w:szCs w:val="32"/>
          <w:lang w:val="en-US" w:eastAsia="zh-CN"/>
        </w:rPr>
        <w:t>“三通平台”对传统税务服务进行系统整合、服务优化、功能升级，“云税通”打通了电子税务局个别业务不能在线办的堵点，“掌上通”攻克了税企全天候全功能交流互动的难点，“一线通”破解了热线服务接通难、回复慢的痛点，为不同纳税人提供精准化、专业化、个性化的服务。</w:t>
      </w:r>
    </w:p>
    <w:p>
      <w:pPr>
        <w:keepNext w:val="0"/>
        <w:keepLines w:val="0"/>
        <w:pageBreakBefore w:val="0"/>
        <w:widowControl w:val="0"/>
        <w:kinsoku/>
        <w:wordWrap/>
        <w:overflowPunct/>
        <w:topLinePunct w:val="0"/>
        <w:bidi w:val="0"/>
        <w:spacing w:line="560" w:lineRule="exact"/>
        <w:ind w:left="0" w:leftChars="0" w:right="0" w:rightChars="0" w:firstLine="640" w:firstLineChars="200"/>
        <w:jc w:val="both"/>
        <w:rPr>
          <w:rStyle w:val="21"/>
          <w:rFonts w:hint="default" w:ascii="仿宋_GB2312" w:hAnsi="仿宋_GB2312" w:eastAsia="仿宋_GB2312" w:cs="仿宋_GB2312"/>
          <w:sz w:val="32"/>
          <w:szCs w:val="32"/>
          <w:lang w:val="en-US" w:eastAsia="zh-CN"/>
        </w:rPr>
      </w:pPr>
      <w:r>
        <w:rPr>
          <w:rStyle w:val="21"/>
          <w:rFonts w:hint="default" w:ascii="楷体_GB2312" w:hAnsi="楷体_GB2312" w:eastAsia="楷体_GB2312" w:cs="楷体_GB2312"/>
          <w:b w:val="0"/>
          <w:bCs w:val="0"/>
          <w:sz w:val="32"/>
          <w:szCs w:val="32"/>
          <w:lang w:val="en-US" w:eastAsia="zh-CN" w:bidi="zh-CN"/>
        </w:rPr>
        <w:t>（二）纳税更便利。</w:t>
      </w:r>
      <w:r>
        <w:rPr>
          <w:rStyle w:val="21"/>
          <w:rFonts w:hint="default" w:ascii="仿宋_GB2312" w:hAnsi="仿宋_GB2312" w:eastAsia="仿宋_GB2312" w:cs="仿宋_GB2312"/>
          <w:sz w:val="32"/>
          <w:szCs w:val="32"/>
          <w:lang w:val="en-US" w:eastAsia="zh-CN"/>
        </w:rPr>
        <w:t>“三通平台”打破了办税的时空限制，纳税人办理相关涉税业务，无需专程到办税服务厅，仅凭一台电脑、一部手机或一部固话，即可实现随时随地办理，真正做到“办税不见面，服务不打烊”。</w:t>
      </w:r>
    </w:p>
    <w:p>
      <w:pPr>
        <w:keepNext w:val="0"/>
        <w:keepLines w:val="0"/>
        <w:pageBreakBefore w:val="0"/>
        <w:widowControl w:val="0"/>
        <w:kinsoku/>
        <w:wordWrap/>
        <w:overflowPunct/>
        <w:topLinePunct w:val="0"/>
        <w:bidi w:val="0"/>
        <w:spacing w:line="560" w:lineRule="exact"/>
        <w:ind w:left="0" w:leftChars="0" w:right="0" w:rightChars="0" w:firstLine="640" w:firstLineChars="200"/>
        <w:jc w:val="both"/>
        <w:rPr>
          <w:rStyle w:val="21"/>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（三）办事更高效。</w:t>
      </w:r>
      <w:r>
        <w:rPr>
          <w:rStyle w:val="21"/>
          <w:rFonts w:hint="default" w:ascii="仿宋_GB2312" w:hAnsi="仿宋_GB2312" w:eastAsia="仿宋_GB2312" w:cs="仿宋_GB2312"/>
          <w:sz w:val="32"/>
          <w:szCs w:val="32"/>
          <w:lang w:val="en-US" w:eastAsia="zh-CN"/>
        </w:rPr>
        <w:t>“三通平台”串起了纳税服务需求的关键节点，省去窗口人员受理、现场打印纸质资料、线下逐级审批等环节，实现了受理在线化，流转无纸化、审批电子化，简化了业务流程，极大节省办税缴费的时间成本、人员成本。</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Fonts w:hint="default" w:ascii="Times New Roman" w:hAnsi="Times New Roman" w:eastAsia="黑体" w:cs="Times New Roman"/>
          <w:sz w:val="32"/>
          <w:szCs w:val="32"/>
          <w:lang w:val="en-US" w:eastAsia="zh-CN"/>
        </w:rPr>
      </w:pPr>
      <w:bookmarkStart w:id="2" w:name="_Toc5503"/>
      <w:bookmarkStart w:id="3" w:name="_Toc19241"/>
      <w:r>
        <w:rPr>
          <w:rFonts w:hint="default" w:ascii="Times New Roman" w:hAnsi="Times New Roman" w:eastAsia="黑体" w:cs="Times New Roman"/>
          <w:sz w:val="32"/>
          <w:szCs w:val="32"/>
          <w:lang w:val="en-US" w:eastAsia="zh-CN"/>
        </w:rPr>
        <w:t>三、下一步工作思路</w:t>
      </w:r>
      <w:bookmarkEnd w:id="2"/>
      <w:bookmarkEnd w:id="3"/>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val="zh-CN" w:eastAsia="zh-CN"/>
        </w:rPr>
      </w:pPr>
      <w:r>
        <w:rPr>
          <w:rStyle w:val="21"/>
          <w:rFonts w:hint="default" w:ascii="仿宋_GB2312" w:hAnsi="仿宋_GB2312" w:eastAsia="仿宋_GB2312" w:cs="仿宋_GB2312"/>
          <w:sz w:val="32"/>
          <w:szCs w:val="32"/>
          <w:lang w:val="zh-CN" w:eastAsia="zh-CN"/>
        </w:rPr>
        <w:t>下一步，陕西自贸试验区西安经开区功能区将进一步优化税务机关内部审批、审核流程，提供全业务全流程的“线上+线下”精准服务模式，为不同纳税人、缴费人提供更加精准化、专业化、个性化的服务，探索在全省率先实现涉税业务“全部网上办”“一次不用跑”。</w:t>
      </w:r>
    </w:p>
    <w:p>
      <w:pPr>
        <w:keepNext w:val="0"/>
        <w:keepLines w:val="0"/>
        <w:pageBreakBefore w:val="0"/>
        <w:widowControl w:val="0"/>
        <w:kinsoku/>
        <w:wordWrap/>
        <w:overflowPunct/>
        <w:topLinePunct w:val="0"/>
        <w:bidi w:val="0"/>
        <w:spacing w:line="560" w:lineRule="exact"/>
        <w:ind w:left="0" w:leftChars="0" w:right="0" w:rightChars="0" w:firstLine="640" w:firstLineChars="200"/>
        <w:jc w:val="right"/>
        <w:rPr>
          <w:rFonts w:hint="default" w:ascii="Times New Roman" w:hAnsi="Times New Roman" w:eastAsia="仿宋_GB2312" w:cs="Times New Roman"/>
          <w:sz w:val="32"/>
          <w:szCs w:val="32"/>
          <w:lang w:val="zh-CN"/>
        </w:rPr>
      </w:pPr>
      <w:r>
        <w:rPr>
          <w:rStyle w:val="21"/>
          <w:rFonts w:hint="default" w:ascii="仿宋_GB2312" w:hAnsi="仿宋_GB2312" w:eastAsia="仿宋_GB2312" w:cs="仿宋_GB2312"/>
          <w:sz w:val="32"/>
          <w:szCs w:val="32"/>
          <w:lang w:val="zh-CN" w:eastAsia="zh-CN"/>
        </w:rPr>
        <w:t>（陕西自贸试验区西安经开区功能区提供）</w:t>
      </w:r>
    </w:p>
    <w:p>
      <w:pPr>
        <w:keepNext w:val="0"/>
        <w:keepLines w:val="0"/>
        <w:pageBreakBefore w:val="0"/>
        <w:widowControl w:val="0"/>
        <w:kinsoku/>
        <w:wordWrap/>
        <w:overflowPunct/>
        <w:topLinePunct w:val="0"/>
        <w:bidi w:val="0"/>
        <w:spacing w:line="560" w:lineRule="exact"/>
        <w:ind w:left="0" w:leftChars="0" w:right="0" w:rightChars="0"/>
        <w:rPr>
          <w:rFonts w:hint="default" w:ascii="Times New Roman" w:hAnsi="Times New Roman" w:eastAsia="黑体" w:cs="Times New Roman"/>
          <w:b w:val="0"/>
          <w:bCs w:val="0"/>
          <w:sz w:val="32"/>
          <w:szCs w:val="32"/>
          <w:lang w:val="en-US" w:eastAsia="zh-CN"/>
        </w:rPr>
      </w:pPr>
      <w:r>
        <w:rPr>
          <w:rFonts w:hint="default" w:ascii="Times New Roman" w:hAnsi="Times New Roman" w:eastAsia="楷体" w:cs="Times New Roman"/>
          <w:lang w:val="en-US" w:eastAsia="zh-CN"/>
        </w:rPr>
        <w:br w:type="page"/>
      </w:r>
      <w:r>
        <w:rPr>
          <w:rFonts w:hint="default" w:ascii="Times New Roman" w:hAnsi="Times New Roman" w:eastAsia="黑体" w:cs="Times New Roman"/>
          <w:b w:val="0"/>
          <w:bCs w:val="0"/>
          <w:sz w:val="32"/>
          <w:szCs w:val="32"/>
          <w:lang w:val="en-US" w:eastAsia="zh-CN"/>
        </w:rPr>
        <w:t>案例2</w:t>
      </w:r>
    </w:p>
    <w:p>
      <w:pPr>
        <w:pStyle w:val="5"/>
        <w:keepNext w:val="0"/>
        <w:keepLines w:val="0"/>
        <w:pageBreakBefore w:val="0"/>
        <w:widowControl w:val="0"/>
        <w:kinsoku/>
        <w:wordWrap/>
        <w:overflowPunct/>
        <w:topLinePunct w:val="0"/>
        <w:bidi w:val="0"/>
        <w:spacing w:after="0" w:afterLines="0" w:line="560" w:lineRule="exact"/>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val="en-US" w:eastAsia="zh-CN"/>
        </w:rPr>
      </w:pPr>
      <w:r>
        <w:rPr>
          <w:rFonts w:hint="eastAsia" w:ascii="方正小标宋简体" w:hAnsi="方正小标宋简体" w:eastAsia="方正小标宋简体" w:cs="方正小标宋简体"/>
          <w:b w:val="0"/>
          <w:bCs w:val="0"/>
          <w:color w:val="auto"/>
          <w:spacing w:val="0"/>
          <w:sz w:val="44"/>
          <w:szCs w:val="44"/>
          <w:lang w:val="en-US" w:eastAsia="zh-CN"/>
        </w:rPr>
        <w:t>“市政通”集成改革</w:t>
      </w:r>
    </w:p>
    <w:p>
      <w:pPr>
        <w:keepNext w:val="0"/>
        <w:keepLines w:val="0"/>
        <w:pageBreakBefore w:val="0"/>
        <w:widowControl w:val="0"/>
        <w:kinsoku/>
        <w:wordWrap/>
        <w:overflowPunct/>
        <w:topLinePunct w:val="0"/>
        <w:autoSpaceDE/>
        <w:autoSpaceDN/>
        <w:bidi w:val="0"/>
        <w:adjustRightInd/>
        <w:spacing w:line="560" w:lineRule="exact"/>
        <w:ind w:left="0" w:leftChars="0" w:right="0" w:rightChars="0" w:firstLine="640" w:firstLineChars="200"/>
        <w:jc w:val="left"/>
        <w:rPr>
          <w:rStyle w:val="21"/>
          <w:rFonts w:hint="default" w:ascii="Times New Roman" w:hAnsi="Times New Roman" w:eastAsia="仿宋_GB2312"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eastAsia" w:ascii="仿宋_GB2312" w:hAnsi="仿宋_GB2312" w:eastAsia="仿宋_GB2312" w:cs="仿宋_GB2312"/>
          <w:sz w:val="32"/>
          <w:szCs w:val="32"/>
          <w:lang w:eastAsia="zh-CN"/>
        </w:rPr>
      </w:pPr>
      <w:r>
        <w:rPr>
          <w:rStyle w:val="21"/>
          <w:rFonts w:hint="eastAsia" w:ascii="仿宋_GB2312" w:hAnsi="仿宋_GB2312" w:eastAsia="仿宋_GB2312" w:cs="仿宋_GB2312"/>
          <w:sz w:val="32"/>
          <w:szCs w:val="32"/>
          <w:lang w:eastAsia="zh-CN"/>
        </w:rPr>
        <w:t>为进一步方便企业获得水、电、气、暖、通信等服务，构建便捷、高效、优质的市政公用服务体系，陕西自贸试验区西安浐灞生态区功能区开展“市政通”集成改革，整合水、电、气、暖、管线接入等11个外线工程审批事项，推行“多件事一次办”，为企业提供高效便利的市政公用服务。</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一、主要做法</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eastAsia" w:ascii="仿宋_GB2312" w:hAnsi="仿宋_GB2312" w:eastAsia="仿宋_GB2312" w:cs="仿宋_GB2312"/>
          <w:sz w:val="32"/>
          <w:szCs w:val="32"/>
          <w:lang w:eastAsia="zh-CN"/>
        </w:rPr>
      </w:pPr>
      <w:r>
        <w:rPr>
          <w:rStyle w:val="21"/>
          <w:rFonts w:hint="eastAsia" w:ascii="仿宋_GB2312" w:hAnsi="仿宋_GB2312" w:eastAsia="仿宋_GB2312" w:cs="仿宋_GB2312"/>
          <w:sz w:val="32"/>
          <w:szCs w:val="32"/>
          <w:lang w:eastAsia="zh-CN"/>
        </w:rPr>
        <w:t>西安浐灞生态区功能区出台《西安浐灞生态区建设项目市政配套外线工程审批暨“市政通”改革试行方案》，围绕外线工程审批涉及的“9图1表1证”，制定了“</w:t>
      </w:r>
      <w:r>
        <w:rPr>
          <w:rStyle w:val="21"/>
          <w:rFonts w:hint="eastAsia" w:ascii="仿宋_GB2312" w:hAnsi="仿宋_GB2312" w:eastAsia="仿宋_GB2312" w:cs="仿宋_GB2312"/>
          <w:sz w:val="32"/>
          <w:szCs w:val="32"/>
          <w:lang w:val="en-US" w:eastAsia="zh-CN"/>
        </w:rPr>
        <w:t>7</w:t>
      </w:r>
      <w:r>
        <w:rPr>
          <w:rStyle w:val="21"/>
          <w:rFonts w:hint="eastAsia" w:ascii="仿宋_GB2312" w:hAnsi="仿宋_GB2312" w:eastAsia="仿宋_GB2312" w:cs="仿宋_GB2312"/>
          <w:sz w:val="32"/>
          <w:szCs w:val="32"/>
          <w:lang w:eastAsia="zh-CN"/>
        </w:rPr>
        <w:t>+5”审批工作模式，即通过采取服务前置、一窗受理、一日流转等</w:t>
      </w:r>
      <w:r>
        <w:rPr>
          <w:rStyle w:val="21"/>
          <w:rFonts w:hint="eastAsia" w:ascii="仿宋_GB2312" w:hAnsi="仿宋_GB2312" w:eastAsia="仿宋_GB2312" w:cs="仿宋_GB2312"/>
          <w:sz w:val="32"/>
          <w:szCs w:val="32"/>
          <w:lang w:val="en-US" w:eastAsia="zh-CN"/>
        </w:rPr>
        <w:t>7</w:t>
      </w:r>
      <w:r>
        <w:rPr>
          <w:rStyle w:val="21"/>
          <w:rFonts w:hint="eastAsia" w:ascii="仿宋_GB2312" w:hAnsi="仿宋_GB2312" w:eastAsia="仿宋_GB2312" w:cs="仿宋_GB2312"/>
          <w:sz w:val="32"/>
          <w:szCs w:val="32"/>
          <w:lang w:eastAsia="zh-CN"/>
        </w:rPr>
        <w:t>项举措，做到“一张表单、一套材料、一次提交、多方复用”，实现5个工作日内办结外线工程联合审批“一件事”。</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（一）服务前置主动对接。</w:t>
      </w:r>
      <w:r>
        <w:rPr>
          <w:rStyle w:val="21"/>
          <w:rFonts w:hint="eastAsia" w:ascii="仿宋_GB2312" w:hAnsi="仿宋_GB2312" w:eastAsia="仿宋_GB2312" w:cs="仿宋_GB2312"/>
          <w:sz w:val="32"/>
          <w:szCs w:val="32"/>
          <w:lang w:eastAsia="zh-CN"/>
        </w:rPr>
        <w:t>在企业办理工程建设项目相关建设规划许可手续时，主动对接联系项目单位，针对其市政配套外线工程接入实际需求，主动给予审前业务辅导，指导企业适时、准确填报《“市政通”一次踏勘申请表》。</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（二）多个事项一窗受理。</w:t>
      </w:r>
      <w:r>
        <w:rPr>
          <w:rStyle w:val="21"/>
          <w:rFonts w:hint="default" w:ascii="仿宋_GB2312" w:hAnsi="仿宋_GB2312" w:eastAsia="仿宋_GB2312" w:cs="仿宋_GB2312"/>
          <w:sz w:val="32"/>
          <w:szCs w:val="32"/>
          <w:lang w:eastAsia="zh-CN"/>
        </w:rPr>
        <w:t>开通“市政通”窗口，将外线工程审批涉及的11个事项一并纳入“市政通”窗口受理范围，企业提交《“市政通”一次踏勘申请表》和相关申报材料至“市政通”窗口，经窗口工作人员审核通过后当场出具受理通知书，对于不符合规定的，告知申请单位予以修改补正。</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Times New Roman" w:hAnsi="Times New Roman" w:eastAsia="仿宋" w:cs="Times New Roman"/>
          <w:sz w:val="32"/>
          <w:szCs w:val="32"/>
          <w:lang w:eastAsia="zh-CN"/>
        </w:rPr>
      </w:pPr>
      <w:r>
        <w:rPr>
          <w:rStyle w:val="21"/>
          <w:rFonts w:hint="default" w:ascii="Times New Roman" w:hAnsi="Times New Roman" w:eastAsia="楷体_GB2312" w:cs="Times New Roman"/>
          <w:b w:val="0"/>
          <w:bCs w:val="0"/>
          <w:sz w:val="32"/>
          <w:szCs w:val="32"/>
          <w:lang w:val="en-US" w:eastAsia="zh-CN" w:bidi="zh-CN"/>
        </w:rPr>
        <w:t>（三）申报材料一日流转。</w:t>
      </w:r>
      <w:r>
        <w:rPr>
          <w:rStyle w:val="21"/>
          <w:rFonts w:hint="default" w:ascii="仿宋_GB2312" w:hAnsi="仿宋_GB2312" w:eastAsia="仿宋_GB2312" w:cs="仿宋_GB2312"/>
          <w:sz w:val="32"/>
          <w:szCs w:val="32"/>
          <w:lang w:eastAsia="zh-CN"/>
        </w:rPr>
        <w:t>“市政通”窗口严格依据审批部门职责和企业申请事项，对申报材料进行分拣分类，填写《“市政通”审批流转单》，于1个工作日内流转至相关审批部门，确保责任到人，并做好分类跟踪、限时提醒和汇总归档工作。</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（四）服务选定一次踏勘。</w:t>
      </w:r>
      <w:r>
        <w:rPr>
          <w:rStyle w:val="21"/>
          <w:rFonts w:hint="default" w:ascii="仿宋_GB2312" w:hAnsi="仿宋_GB2312" w:eastAsia="仿宋_GB2312" w:cs="仿宋_GB2312"/>
          <w:sz w:val="32"/>
          <w:szCs w:val="32"/>
          <w:lang w:eastAsia="zh-CN"/>
        </w:rPr>
        <w:t>根据企业填写的《“市政通”一次踏勘申请表》及其选定的单项或多项需求，负责部门联合相关部门，确定好现场一次踏勘时间，现场踏勘时，针对现场实况及相关审批部门意见，填写《“市政通”一次踏勘意见表》，同步告知企业按照《“市政通”办事指南》申请相关审批手续。</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（五）审批结果同步反馈。</w:t>
      </w:r>
      <w:r>
        <w:rPr>
          <w:rStyle w:val="21"/>
          <w:rFonts w:hint="default" w:ascii="仿宋_GB2312" w:hAnsi="仿宋_GB2312" w:eastAsia="仿宋_GB2312" w:cs="仿宋_GB2312"/>
          <w:sz w:val="32"/>
          <w:szCs w:val="32"/>
          <w:lang w:eastAsia="zh-CN"/>
        </w:rPr>
        <w:t>负责部门联合相关部门依据《“市政通”一次踏勘意见表》完成道路开口和市政支管规划方案审批、绿化迁移审批、挖掘占道审批，同步将缴费通知单送达企业，并将相关审批结果文件于3个工作日内送达至“市政通”窗口。</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（六）相关缴费承诺后置。</w:t>
      </w:r>
      <w:r>
        <w:rPr>
          <w:rStyle w:val="21"/>
          <w:rFonts w:hint="default" w:ascii="仿宋_GB2312" w:hAnsi="仿宋_GB2312" w:eastAsia="仿宋_GB2312" w:cs="仿宋_GB2312"/>
          <w:sz w:val="32"/>
          <w:szCs w:val="32"/>
          <w:lang w:eastAsia="zh-CN"/>
        </w:rPr>
        <w:t>外线工程审批涉及的相关缴费不再作为审批前置要求，实行“时限内缴清承诺制”，即企业填写《“市政通”承诺书》，承诺自收到缴款通知书起，于10个工作日内缴清相关费用，并将承诺书随申报材料一并提交至“市政通”窗口。</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（七）办理结果一次领取。</w:t>
      </w:r>
      <w:r>
        <w:rPr>
          <w:rStyle w:val="21"/>
          <w:rFonts w:hint="default" w:ascii="仿宋_GB2312" w:hAnsi="仿宋_GB2312" w:eastAsia="仿宋_GB2312" w:cs="仿宋_GB2312"/>
          <w:sz w:val="32"/>
          <w:szCs w:val="32"/>
          <w:lang w:eastAsia="zh-CN"/>
        </w:rPr>
        <w:t>“市政通”窗口负责对相关审批部门反馈的审批结果性文件进行汇总整合，完成《“市政通”审批结果办理单》，企业在承诺期限内完成相关费用缴纳后，持缴费凭证原件到“市政通”窗口一并领取《“市政通”审批结果办理单》及相关审批结果性文件。</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二、实践效果</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（一）减材料。</w:t>
      </w:r>
      <w:r>
        <w:rPr>
          <w:rStyle w:val="21"/>
          <w:rFonts w:hint="default" w:ascii="仿宋_GB2312" w:hAnsi="仿宋_GB2312" w:eastAsia="仿宋_GB2312" w:cs="仿宋_GB2312"/>
          <w:sz w:val="32"/>
          <w:szCs w:val="32"/>
          <w:lang w:eastAsia="zh-CN"/>
        </w:rPr>
        <w:t>将外线工程审批事项涉及的多套共性材料进行整合、优化、共享，企业申报材料从69项压减至21项，材料精简率高达70%。</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（二）减环节。</w:t>
      </w:r>
      <w:r>
        <w:rPr>
          <w:rStyle w:val="21"/>
          <w:rFonts w:hint="default" w:ascii="仿宋_GB2312" w:hAnsi="仿宋_GB2312" w:eastAsia="仿宋_GB2312" w:cs="仿宋_GB2312"/>
          <w:sz w:val="32"/>
          <w:szCs w:val="32"/>
          <w:lang w:eastAsia="zh-CN"/>
        </w:rPr>
        <w:t>审批流程由多头多次审批改为一窗一次办理，减少了大量审批环节。如市政支管接入规划方案审批意见不再作为绿化迁移和挖掘占道的前置要件，外线工程审批涉及的相关缴费不再作为审批的前置要求。</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（三）减时限。</w:t>
      </w:r>
      <w:r>
        <w:rPr>
          <w:rStyle w:val="21"/>
          <w:rFonts w:hint="default" w:ascii="仿宋_GB2312" w:hAnsi="仿宋_GB2312" w:eastAsia="仿宋_GB2312" w:cs="仿宋_GB2312"/>
          <w:sz w:val="32"/>
          <w:szCs w:val="32"/>
          <w:lang w:eastAsia="zh-CN"/>
        </w:rPr>
        <w:t>企业办理外线工程审批手续时间由以往至少25个工作日压减至5个工作日，办理时限压缩80%，同时，相关部门仅需进行1次联合现场踏勘，为企业降低时间成本。</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三、下一步工作思路</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baseline"/>
        <w:rPr>
          <w:rStyle w:val="21"/>
          <w:rFonts w:hint="default" w:ascii="仿宋_GB2312" w:hAnsi="仿宋_GB2312" w:eastAsia="仿宋_GB2312" w:cs="仿宋_GB2312"/>
          <w:sz w:val="32"/>
          <w:szCs w:val="32"/>
          <w:lang w:eastAsia="zh-CN"/>
        </w:rPr>
      </w:pPr>
      <w:r>
        <w:rPr>
          <w:rStyle w:val="21"/>
          <w:rFonts w:hint="default" w:ascii="仿宋_GB2312" w:hAnsi="仿宋_GB2312" w:eastAsia="仿宋_GB2312" w:cs="仿宋_GB2312"/>
          <w:sz w:val="32"/>
          <w:szCs w:val="32"/>
          <w:lang w:eastAsia="zh-CN"/>
        </w:rPr>
        <w:t>下一步，陕西自贸试验区西安浐灞生态区功能区将继续秉持“我为群众办实事”的服务宗旨，基于市政配套外线工程审批“一表申请、一次踏勘、一窗受理、并联审批、一次送达”的“一事通办”模式，为区内建设项目全面铺开“市政通”集成改革，持续提升企业在市政配套改革方面的获得感和便利度。</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right"/>
        <w:textAlignment w:val="baseline"/>
        <w:rPr>
          <w:rFonts w:hint="default" w:ascii="Times New Roman" w:hAnsi="Times New Roman" w:eastAsia="仿宋_GB2312" w:cs="Times New Roman"/>
          <w:sz w:val="32"/>
          <w:szCs w:val="32"/>
        </w:rPr>
      </w:pPr>
      <w:r>
        <w:rPr>
          <w:rStyle w:val="21"/>
          <w:rFonts w:hint="default" w:ascii="仿宋_GB2312" w:hAnsi="仿宋_GB2312" w:eastAsia="仿宋_GB2312" w:cs="仿宋_GB2312"/>
          <w:sz w:val="32"/>
          <w:szCs w:val="32"/>
          <w:lang w:eastAsia="zh-CN"/>
        </w:rPr>
        <w:t>（陕西自贸试验区西安浐灞生态区功能区提供）</w:t>
      </w: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案例3</w:t>
      </w: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default" w:ascii="Times New Roman" w:hAnsi="Times New Roman" w:eastAsia="方正小标宋简体" w:cs="Times New Roman"/>
          <w:b w:val="0"/>
          <w:bCs w:val="0"/>
          <w:color w:val="auto"/>
          <w:spacing w:val="0"/>
          <w:sz w:val="44"/>
          <w:szCs w:val="44"/>
          <w:lang w:val="en-US" w:eastAsia="zh-CN"/>
        </w:rPr>
        <w:t>建筑工程施工许可分阶段办理新模式</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为进一步推进政府职能转变，深入开展工程建设项目审批制度改革，有效破解企业从拿地到动工审批环节多、动工周期长等难点堵点问题，陕西自贸试验区西安浐灞生态区功能区探索开展分阶段办理建筑工程施工许可，通过流程再造、精简审批手续，允许企业分阶段申请办理施工许可，为市场主体进一步减负让利，推动建设项目提速增效。</w:t>
      </w:r>
    </w:p>
    <w:p>
      <w:pPr>
        <w:keepNext w:val="0"/>
        <w:keepLines w:val="0"/>
        <w:pageBreakBefore w:val="0"/>
        <w:widowControl w:val="0"/>
        <w:kinsoku/>
        <w:wordWrap/>
        <w:overflowPunct/>
        <w:topLinePunct w:val="0"/>
        <w:bidi w:val="0"/>
        <w:spacing w:line="560" w:lineRule="exact"/>
        <w:ind w:left="0" w:leftChars="0" w:right="0" w:rightChars="0" w:firstLine="640" w:firstLineChars="200"/>
        <w:outlineLvl w:val="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一、改革背景</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根据现行施工许可办理政策，企业取得合法用地后，需要先设计方案并通过人防、绿化、市政、单体、夜景等技术审查，取得建设工程规划许可证，再办理施工图设计并通过图审、消防等审查，才能申请办理施工许可证。由于规划审批在前，建设审批在后，导致完成审批手续到项目开工需要等</w:t>
      </w:r>
      <w:r>
        <w:rPr>
          <w:rFonts w:hint="eastAsia" w:ascii="仿宋_GB2312" w:hAnsi="仿宋_GB2312" w:eastAsia="仿宋_GB2312" w:cs="仿宋_GB2312"/>
          <w:sz w:val="32"/>
          <w:szCs w:val="32"/>
          <w:lang w:val="en-US" w:eastAsia="zh-CN"/>
        </w:rPr>
        <w:t>待4-5个</w:t>
      </w:r>
      <w:r>
        <w:rPr>
          <w:rFonts w:hint="default" w:ascii="Times New Roman" w:hAnsi="Times New Roman" w:eastAsia="仿宋_GB2312" w:cs="Times New Roman"/>
          <w:sz w:val="32"/>
          <w:szCs w:val="32"/>
          <w:lang w:val="en-US" w:eastAsia="zh-CN"/>
        </w:rPr>
        <w:t>月的时间，无形中增加了企业的时间成本、人力成本、物资成本和资金成本。</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sz w:val="32"/>
          <w:szCs w:val="32"/>
          <w:lang w:val="en-US" w:eastAsia="zh-CN"/>
        </w:rPr>
      </w:pPr>
      <w:r>
        <w:rPr>
          <w:rFonts w:hint="eastAsia" w:ascii="仿宋_GB2312" w:hAnsi="仿宋_GB2312" w:eastAsia="仿宋_GB2312" w:cs="仿宋_GB2312"/>
          <w:sz w:val="32"/>
          <w:szCs w:val="32"/>
          <w:lang w:val="en-US" w:eastAsia="zh-CN"/>
        </w:rPr>
        <w:t>西安浐灞生态区功能区聚焦上述“痛点”，以深</w:t>
      </w:r>
      <w:r>
        <w:rPr>
          <w:rFonts w:hint="default" w:ascii="Times New Roman" w:hAnsi="Times New Roman" w:eastAsia="仿宋_GB2312" w:cs="Times New Roman"/>
          <w:sz w:val="32"/>
          <w:szCs w:val="32"/>
          <w:lang w:val="en-US" w:eastAsia="zh-CN"/>
        </w:rPr>
        <w:t>化工程建设项目审批制度改革、优化营商环境、便企惠民为目标，制定了《西安浐灞生态区分阶段办理建筑工程施工许可证实施意见（试行）》，探索形成了建筑工程施工许可分阶段办理新模式，有效破除施工许可办理体制机制障碍，缩短项目整体建设周期并提高审批效率。</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rPr>
        <w:t>二、</w:t>
      </w:r>
      <w:r>
        <w:rPr>
          <w:rStyle w:val="21"/>
          <w:rFonts w:hint="default" w:ascii="Times New Roman" w:hAnsi="Times New Roman" w:eastAsia="黑体" w:cs="Times New Roman"/>
          <w:sz w:val="32"/>
          <w:szCs w:val="32"/>
          <w:lang w:eastAsia="zh-CN"/>
        </w:rPr>
        <w:t>主要做法</w:t>
      </w:r>
    </w:p>
    <w:p>
      <w:pPr>
        <w:keepNext w:val="0"/>
        <w:keepLines w:val="0"/>
        <w:pageBreakBefore w:val="0"/>
        <w:widowControl w:val="0"/>
        <w:kinsoku/>
        <w:wordWrap/>
        <w:overflowPunct/>
        <w:topLinePunct w:val="0"/>
        <w:bidi w:val="0"/>
        <w:spacing w:line="560" w:lineRule="exact"/>
        <w:ind w:firstLine="640" w:firstLineChars="200"/>
        <w:rPr>
          <w:rFonts w:hint="default" w:ascii="Times New Roman" w:hAnsi="Times New Roman" w:eastAsia="仿宋_GB2312" w:cs="Times New Roman"/>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（一）再造工作流程。</w:t>
      </w:r>
      <w:r>
        <w:rPr>
          <w:rFonts w:hint="default" w:ascii="Times New Roman" w:hAnsi="Times New Roman" w:eastAsia="仿宋_GB2312" w:cs="Times New Roman"/>
          <w:sz w:val="32"/>
          <w:szCs w:val="32"/>
          <w:lang w:val="en-US" w:eastAsia="zh-CN"/>
        </w:rPr>
        <w:t>通过建筑工程施工许可流程梳理再造，将基坑施工与后续手续办理并联同步进行，明确建设单位在取得合法用地并确定施工总承包单位和监理单位后，可根据施工进展顺序自主选择，分三阶段（基坑、地下室、地上）、两阶段（地下、地上）或一阶段申请办理施工许可证，改变过去企业逐项办理、全流程审批才能动工建设的串联模式，企业在取得相应阶段所需（部分）资料经审核符合要求后，即可核发基坑施工许可证，开始基坑开挖、土方外运及边坡支护，同期准备下一阶段施工许可所需资料。</w:t>
      </w:r>
    </w:p>
    <w:p>
      <w:pPr>
        <w:keepNext w:val="0"/>
        <w:keepLines w:val="0"/>
        <w:pageBreakBefore w:val="0"/>
        <w:widowControl w:val="0"/>
        <w:kinsoku/>
        <w:wordWrap/>
        <w:overflowPunct/>
        <w:topLinePunct w:val="0"/>
        <w:bidi w:val="0"/>
        <w:spacing w:line="560" w:lineRule="exact"/>
        <w:ind w:firstLine="640" w:firstLineChars="200"/>
        <w:rPr>
          <w:rFonts w:hint="default" w:ascii="Times New Roman" w:hAnsi="Times New Roman" w:eastAsia="仿宋" w:cs="Times New Roman"/>
          <w:color w:val="FF0000"/>
          <w:sz w:val="32"/>
          <w:szCs w:val="32"/>
        </w:rPr>
      </w:pPr>
      <w:r>
        <w:rPr>
          <w:rStyle w:val="21"/>
          <w:rFonts w:hint="default" w:ascii="Times New Roman" w:hAnsi="Times New Roman" w:eastAsia="楷体_GB2312" w:cs="Times New Roman"/>
          <w:b w:val="0"/>
          <w:bCs w:val="0"/>
          <w:sz w:val="32"/>
          <w:szCs w:val="32"/>
          <w:lang w:val="en-US" w:eastAsia="zh-CN" w:bidi="zh-CN"/>
        </w:rPr>
        <w:t>（二）优化办理环节。</w:t>
      </w:r>
      <w:r>
        <w:rPr>
          <w:rFonts w:hint="eastAsia" w:ascii="仿宋_GB2312" w:hAnsi="仿宋_GB2312" w:eastAsia="仿宋_GB2312" w:cs="仿宋_GB2312"/>
          <w:sz w:val="32"/>
          <w:szCs w:val="32"/>
          <w:lang w:val="en-US" w:eastAsia="zh-CN"/>
        </w:rPr>
        <w:t>推行事项合并审批，将企业从拿地到项目开工的11个环节53个审批事项，精减压缩到28个事项。将原本分别实施的环保、水保、安全、卫生、消防等验收项目，整合为多部门联合验收，大幅压缩验收时间。对于事中事后可修正且不可能出现不可逆影响的审批事项，试行建立告知承诺制、非核心材料容缺受理制，不再作为办理施工许可的前置条件。</w:t>
      </w:r>
    </w:p>
    <w:p>
      <w:pPr>
        <w:keepNext w:val="0"/>
        <w:keepLines w:val="0"/>
        <w:pageBreakBefore w:val="0"/>
        <w:widowControl w:val="0"/>
        <w:kinsoku/>
        <w:wordWrap/>
        <w:overflowPunct/>
        <w:topLinePunct w:val="0"/>
        <w:bidi w:val="0"/>
        <w:spacing w:line="560" w:lineRule="exact"/>
        <w:ind w:firstLine="640" w:firstLineChars="200"/>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（三）加强安全监管。</w:t>
      </w:r>
      <w:r>
        <w:rPr>
          <w:rFonts w:hint="default" w:ascii="仿宋_GB2312" w:hAnsi="仿宋_GB2312" w:eastAsia="仿宋_GB2312" w:cs="仿宋_GB2312"/>
          <w:sz w:val="32"/>
          <w:szCs w:val="32"/>
          <w:lang w:val="en-US" w:eastAsia="zh-CN"/>
        </w:rPr>
        <w:t>梳理明确建设单位、施工单位、监理单位、设计单位、勘察单位、建设审批部门和业务监管部门各方权责义务，加强事中事后监管，严格执行信用约束和惩戒机制。发挥审批施工许可“总把关”作用，住建等业务监管部门同步联动，对项目各阶段审批手续、建设情况定期检查复核，有效制约违规现象发生，保障工程建设项目高效有序、安全文明施工。</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三、实践效果</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楷体_GB2312" w:cs="Times New Roman"/>
          <w:b w:val="0"/>
          <w:bCs/>
          <w:sz w:val="32"/>
          <w:szCs w:val="32"/>
          <w:lang w:eastAsia="zh-CN"/>
        </w:rPr>
      </w:pPr>
      <w:r>
        <w:rPr>
          <w:rStyle w:val="21"/>
          <w:rFonts w:hint="default" w:ascii="Times New Roman" w:hAnsi="Times New Roman" w:eastAsia="楷体_GB2312" w:cs="Times New Roman"/>
          <w:b w:val="0"/>
          <w:bCs w:val="0"/>
          <w:sz w:val="32"/>
          <w:szCs w:val="32"/>
          <w:lang w:val="en-US" w:eastAsia="zh-CN" w:bidi="zh-CN"/>
        </w:rPr>
        <w:t>（一）缩短了项目建设周期。</w:t>
      </w:r>
      <w:r>
        <w:rPr>
          <w:rFonts w:hint="default" w:ascii="仿宋_GB2312" w:hAnsi="仿宋_GB2312" w:eastAsia="仿宋_GB2312" w:cs="仿宋_GB2312"/>
          <w:sz w:val="32"/>
          <w:szCs w:val="32"/>
          <w:lang w:val="en-US" w:eastAsia="zh-CN"/>
        </w:rPr>
        <w:t>企业从拿地到动工由至少135天压缩至15天以内，动工周期节约89%。例如，西安浐灞城市投资建设有限公司在7天的时间内先后取得了西安浐灞生态区集中配建租赁型保障房二期项目的工程规划许可证（基坑）和建筑工程施工许可证（基坑），项目建设周期缩短至少3个月。</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（二）节约了企业资金成本。</w:t>
      </w:r>
      <w:r>
        <w:rPr>
          <w:rFonts w:hint="default" w:ascii="仿宋_GB2312" w:hAnsi="仿宋_GB2312" w:eastAsia="仿宋_GB2312" w:cs="仿宋_GB2312"/>
          <w:sz w:val="32"/>
          <w:szCs w:val="32"/>
          <w:lang w:val="en-US" w:eastAsia="zh-CN"/>
        </w:rPr>
        <w:t>实施“分阶段施工许可”改革后，企业只需要办理土地证、工程规划许可证（基坑）等即可先行基坑施工，为企业节省了大量的时间成本、人力成本、物资成本和资金成本。例如，一个100亩左右的房地产项目，每等待一天约耗费40余万元（项目土地费、建安费及其他项目总投资产生的融资费用），提前动工120天就能为企业节省近5000万元。</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（三）规避了违规动工风险。</w:t>
      </w:r>
      <w:r>
        <w:rPr>
          <w:rFonts w:hint="default" w:ascii="仿宋_GB2312" w:hAnsi="仿宋_GB2312" w:eastAsia="仿宋_GB2312" w:cs="仿宋_GB2312"/>
          <w:sz w:val="32"/>
          <w:szCs w:val="32"/>
          <w:lang w:val="en-US" w:eastAsia="zh-CN"/>
        </w:rPr>
        <w:t>个别企业为节约资金成本、时间成本或其他因素，宁愿接受处罚也要违规提前动工抢工期，新模式破解了企业合规和节约成本之间的矛盾，降低了企业的违规风险，改善了行业整体风气。</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四、下一步工作思路</w:t>
      </w:r>
    </w:p>
    <w:p>
      <w:pPr>
        <w:pStyle w:val="18"/>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right"/>
        <w:textAlignment w:val="auto"/>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下一步，陕西自贸试验区西安浐灞生态区功能区将不断加强事中事后监管力度，确保工程在建设过程中的质量安全，坚决杜绝质量安全事故的发生，同时还会加强巡查力度，对于未批先建擅自施工的项目加大查处力度，确保施工许可审批的有效管理。（陕西自贸试验区西安浐灞生态区功能区提供）</w:t>
      </w:r>
    </w:p>
    <w:p>
      <w:pPr>
        <w:keepNext w:val="0"/>
        <w:keepLines w:val="0"/>
        <w:pageBreakBefore w:val="0"/>
        <w:widowControl w:val="0"/>
        <w:kinsoku/>
        <w:wordWrap/>
        <w:overflowPunct/>
        <w:topLinePunct w:val="0"/>
        <w:bidi w:val="0"/>
        <w:spacing w:line="560" w:lineRule="exact"/>
        <w:ind w:left="0" w:leftChars="0" w:right="0" w:rightChars="0"/>
        <w:rPr>
          <w:rFonts w:hint="default" w:ascii="Times New Roman" w:hAnsi="Times New Roman" w:eastAsia="黑体" w:cs="Times New Roman"/>
          <w:b w:val="0"/>
          <w:bCs w:val="0"/>
          <w:sz w:val="32"/>
          <w:szCs w:val="32"/>
          <w:lang w:val="en-US" w:eastAsia="zh-CN"/>
        </w:rPr>
      </w:pPr>
      <w:r>
        <w:rPr>
          <w:rFonts w:hint="default" w:ascii="Times New Roman" w:hAnsi="Times New Roman" w:eastAsia="楷体" w:cs="Times New Roman"/>
          <w:lang w:val="en-US" w:eastAsia="zh-CN"/>
        </w:rPr>
        <w:br w:type="page"/>
      </w:r>
      <w:r>
        <w:rPr>
          <w:rFonts w:hint="default" w:ascii="Times New Roman" w:hAnsi="Times New Roman" w:eastAsia="黑体" w:cs="Times New Roman"/>
          <w:b w:val="0"/>
          <w:bCs w:val="0"/>
          <w:sz w:val="32"/>
          <w:szCs w:val="32"/>
          <w:lang w:val="en-US" w:eastAsia="zh-CN"/>
        </w:rPr>
        <w:t>案例4</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val="en-US" w:eastAsia="zh-CN"/>
        </w:rPr>
      </w:pPr>
      <w:r>
        <w:rPr>
          <w:rFonts w:hint="eastAsia" w:ascii="方正小标宋简体" w:hAnsi="方正小标宋简体" w:eastAsia="方正小标宋简体" w:cs="方正小标宋简体"/>
          <w:b w:val="0"/>
          <w:bCs w:val="0"/>
          <w:color w:val="auto"/>
          <w:spacing w:val="0"/>
          <w:sz w:val="44"/>
          <w:szCs w:val="44"/>
          <w:lang w:val="en-US" w:eastAsia="zh-CN"/>
        </w:rPr>
        <w:t>国际货物24小时机坪“直装直提”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left"/>
        <w:textAlignment w:val="auto"/>
        <w:rPr>
          <w:rFonts w:hint="default" w:ascii="Times New Roman" w:hAnsi="Times New Roman" w:eastAsia="仿宋_GB2312" w:cs="Times New Roman"/>
          <w:kern w:val="0"/>
          <w:sz w:val="32"/>
          <w:lang w:val="en-GB" w:eastAsia="zh-CN"/>
        </w:rPr>
      </w:pPr>
    </w:p>
    <w:p>
      <w:pPr>
        <w:keepNext w:val="0"/>
        <w:keepLines w:val="0"/>
        <w:pageBreakBefore w:val="0"/>
        <w:widowControl w:val="0"/>
        <w:kinsoku/>
        <w:wordWrap/>
        <w:overflowPunct/>
        <w:topLinePunct w:val="0"/>
        <w:bidi w:val="0"/>
        <w:spacing w:line="560" w:lineRule="exact"/>
        <w:ind w:firstLine="640" w:firstLineChars="200"/>
        <w:rPr>
          <w:rFonts w:hint="default" w:ascii="仿宋_GB2312" w:hAnsi="仿宋_GB2312" w:eastAsia="仿宋_GB2312" w:cs="仿宋_GB2312"/>
          <w:sz w:val="32"/>
          <w:szCs w:val="32"/>
          <w:lang w:val="en-GB" w:eastAsia="zh-CN"/>
        </w:rPr>
      </w:pPr>
      <w:r>
        <w:rPr>
          <w:rFonts w:hint="default" w:ascii="仿宋_GB2312" w:hAnsi="仿宋_GB2312" w:eastAsia="仿宋_GB2312" w:cs="仿宋_GB2312"/>
          <w:sz w:val="32"/>
          <w:szCs w:val="32"/>
          <w:lang w:val="en-GB" w:eastAsia="zh-CN"/>
        </w:rPr>
        <w:t>为推动陕西自贸试验区跨境贸易便利化不断升级，促进陕西外向型经济发展，机场海关推行空运国际货物机坪“直装直提”改革，实现国际货物24小时“随到随提、随到随装”，助力空港新城功能区打造效率高、成本低、服务优的国际贸易大通道。</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val="en-GB" w:eastAsia="zh-CN"/>
        </w:rPr>
      </w:pPr>
      <w:r>
        <w:rPr>
          <w:rStyle w:val="21"/>
          <w:rFonts w:hint="default" w:ascii="Times New Roman" w:hAnsi="Times New Roman" w:eastAsia="黑体" w:cs="Times New Roman"/>
          <w:sz w:val="32"/>
          <w:szCs w:val="32"/>
          <w:lang w:val="en-GB" w:eastAsia="zh-CN"/>
        </w:rPr>
        <w:t>一、主要做法</w:t>
      </w:r>
    </w:p>
    <w:p>
      <w:pPr>
        <w:keepNext w:val="0"/>
        <w:keepLines w:val="0"/>
        <w:pageBreakBefore w:val="0"/>
        <w:widowControl w:val="0"/>
        <w:kinsoku/>
        <w:wordWrap/>
        <w:overflowPunct/>
        <w:topLinePunct w:val="0"/>
        <w:bidi w:val="0"/>
        <w:spacing w:line="560" w:lineRule="exact"/>
        <w:ind w:firstLine="640" w:firstLineChars="200"/>
        <w:rPr>
          <w:rFonts w:hint="default" w:ascii="仿宋_GB2312" w:hAnsi="仿宋_GB2312" w:eastAsia="仿宋_GB2312" w:cs="仿宋_GB2312"/>
          <w:sz w:val="32"/>
          <w:szCs w:val="32"/>
          <w:lang w:val="en-GB" w:eastAsia="zh-CN"/>
        </w:rPr>
      </w:pPr>
      <w:r>
        <w:rPr>
          <w:rFonts w:hint="default" w:ascii="仿宋_GB2312" w:hAnsi="仿宋_GB2312" w:eastAsia="仿宋_GB2312" w:cs="仿宋_GB2312"/>
          <w:sz w:val="32"/>
          <w:szCs w:val="32"/>
          <w:lang w:val="en-GB" w:eastAsia="zh-CN"/>
        </w:rPr>
        <w:t>改变原先国际货物抵达机场后须转运至机场货运仓库，经查验后方可提货的作业模式，企业负责关务的工作人员在飞机进境前，事先向海关办理全部货物报关单的“提前申报”手续。对抵港前已完税或具备税款担保资格的企业非开箱查验类货物实施提前审验，发放运抵放行许可并允许在机坪直装直提。当货运飞机抵港后，机场工作人员在机坪开始进行货物卸机、分板、装车操作，并与企业核对理货、报关单等海关放行信息，办结放行提货手续的货物由机坪直接运往企业。</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val="en-GB" w:eastAsia="zh-CN"/>
        </w:rPr>
      </w:pPr>
      <w:r>
        <w:rPr>
          <w:rStyle w:val="21"/>
          <w:rFonts w:hint="default" w:ascii="Times New Roman" w:hAnsi="Times New Roman" w:eastAsia="黑体" w:cs="Times New Roman"/>
          <w:sz w:val="32"/>
          <w:szCs w:val="32"/>
          <w:lang w:val="en-GB" w:eastAsia="zh-CN"/>
        </w:rPr>
        <w:t>二、实践效果</w:t>
      </w:r>
    </w:p>
    <w:p>
      <w:pPr>
        <w:keepNext w:val="0"/>
        <w:keepLines w:val="0"/>
        <w:pageBreakBefore w:val="0"/>
        <w:widowControl w:val="0"/>
        <w:kinsoku/>
        <w:wordWrap/>
        <w:overflowPunct/>
        <w:topLinePunct w:val="0"/>
        <w:bidi w:val="0"/>
        <w:spacing w:line="560" w:lineRule="exact"/>
        <w:ind w:firstLine="640" w:firstLineChars="200"/>
        <w:rPr>
          <w:rFonts w:hint="default" w:ascii="仿宋_GB2312" w:hAnsi="仿宋_GB2312" w:eastAsia="仿宋_GB2312" w:cs="仿宋_GB2312"/>
          <w:sz w:val="32"/>
          <w:szCs w:val="32"/>
          <w:lang w:val="en-GB" w:eastAsia="zh-CN"/>
        </w:rPr>
      </w:pPr>
      <w:r>
        <w:rPr>
          <w:rFonts w:hint="default" w:ascii="仿宋_GB2312" w:hAnsi="仿宋_GB2312" w:eastAsia="仿宋_GB2312" w:cs="仿宋_GB2312"/>
          <w:sz w:val="32"/>
          <w:szCs w:val="32"/>
          <w:lang w:val="en-GB" w:eastAsia="zh-CN"/>
        </w:rPr>
        <w:t>国际货物24小时机坪“直装直提”新模式，较之传统空运货物仓库提货模式，货物入库时间平均缩短了</w:t>
      </w:r>
      <w:r>
        <w:rPr>
          <w:rFonts w:hint="default" w:ascii="仿宋_GB2312" w:hAnsi="仿宋_GB2312" w:eastAsia="仿宋_GB2312" w:cs="仿宋_GB2312"/>
          <w:sz w:val="32"/>
          <w:szCs w:val="32"/>
          <w:lang w:val="en-US" w:eastAsia="zh-CN"/>
        </w:rPr>
        <w:t>2-3天，</w:t>
      </w:r>
      <w:r>
        <w:rPr>
          <w:rFonts w:hint="default" w:ascii="仿宋_GB2312" w:hAnsi="仿宋_GB2312" w:eastAsia="仿宋_GB2312" w:cs="仿宋_GB2312"/>
          <w:sz w:val="32"/>
          <w:szCs w:val="32"/>
          <w:lang w:val="en-GB" w:eastAsia="zh-CN"/>
        </w:rPr>
        <w:t>满足了企业对通关、物流时效和特殊商品安全运输“零延时”的迫切要求，节省时间成本和物流成本。同时，机场货运部门可压缩操作环节，减少货物滞留，更加充分利用现有仓库、场地，效率明显提高，为增量发展腾出了空间。以三星（中国）半导体有限公司为例，通过“直装直提”模式，从包机落地到进口设备运抵厂区，时间从原来的近20小时缩短至7小时，设备搬入无尘车间则比原先提前1天完成。搬运次数由原先的4次减少到2次，极大地保障了半导体高精密、高价值货物的安全性。据企业测算，海关的这项改革能够为企业创造1300万元人民币的经济效益。</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val="en-GB" w:eastAsia="zh-CN"/>
        </w:rPr>
      </w:pPr>
      <w:r>
        <w:rPr>
          <w:rStyle w:val="21"/>
          <w:rFonts w:hint="default" w:ascii="Times New Roman" w:hAnsi="Times New Roman" w:eastAsia="黑体" w:cs="Times New Roman"/>
          <w:sz w:val="32"/>
          <w:szCs w:val="32"/>
          <w:lang w:val="en-GB" w:eastAsia="zh-CN"/>
        </w:rPr>
        <w:t>三、下一步工作思路</w:t>
      </w:r>
    </w:p>
    <w:p>
      <w:pPr>
        <w:keepNext w:val="0"/>
        <w:keepLines w:val="0"/>
        <w:pageBreakBefore w:val="0"/>
        <w:widowControl w:val="0"/>
        <w:kinsoku/>
        <w:wordWrap/>
        <w:overflowPunct/>
        <w:topLinePunct w:val="0"/>
        <w:bidi w:val="0"/>
        <w:spacing w:line="560" w:lineRule="exact"/>
        <w:ind w:firstLine="640" w:firstLineChars="200"/>
        <w:rPr>
          <w:rFonts w:hint="default" w:ascii="仿宋_GB2312" w:hAnsi="仿宋_GB2312" w:eastAsia="仿宋_GB2312" w:cs="仿宋_GB2312"/>
          <w:sz w:val="32"/>
          <w:szCs w:val="32"/>
          <w:lang w:val="en-GB" w:eastAsia="zh-CN"/>
        </w:rPr>
      </w:pPr>
      <w:r>
        <w:rPr>
          <w:rFonts w:hint="default" w:ascii="仿宋_GB2312" w:hAnsi="仿宋_GB2312" w:eastAsia="仿宋_GB2312" w:cs="仿宋_GB2312"/>
          <w:sz w:val="32"/>
          <w:szCs w:val="32"/>
          <w:lang w:val="en-GB" w:eastAsia="zh-CN"/>
        </w:rPr>
        <w:t>下一步，西安海关将指导空港新城功能区会同机场海关进一步提升“直装直提”各环节衔接度，并适度扩展适用范围，使更多企业享受到监管模式创新带来的改革红利。同时，将探索进出口货物口岸查验和不查验两类货物的通关作业模式，形成更有活力、更富效率、更加开放、更为便利的贸易环境。</w:t>
      </w:r>
    </w:p>
    <w:p>
      <w:pPr>
        <w:keepNext w:val="0"/>
        <w:keepLines w:val="0"/>
        <w:pageBreakBefore w:val="0"/>
        <w:widowControl w:val="0"/>
        <w:kinsoku/>
        <w:wordWrap/>
        <w:overflowPunct/>
        <w:topLinePunct w:val="0"/>
        <w:bidi w:val="0"/>
        <w:spacing w:line="560" w:lineRule="exact"/>
        <w:ind w:firstLine="640" w:firstLineChars="200"/>
        <w:jc w:val="right"/>
        <w:rPr>
          <w:rFonts w:hint="default" w:ascii="仿宋_GB2312" w:hAnsi="仿宋_GB2312" w:eastAsia="仿宋_GB2312" w:cs="仿宋_GB2312"/>
          <w:sz w:val="32"/>
          <w:szCs w:val="32"/>
          <w:lang w:val="en-GB" w:eastAsia="zh-CN"/>
        </w:rPr>
      </w:pPr>
      <w:r>
        <w:rPr>
          <w:rFonts w:hint="default" w:ascii="仿宋_GB2312" w:hAnsi="仿宋_GB2312" w:eastAsia="仿宋_GB2312" w:cs="仿宋_GB2312"/>
          <w:sz w:val="32"/>
          <w:szCs w:val="32"/>
          <w:lang w:val="en-GB" w:eastAsia="zh-CN"/>
        </w:rPr>
        <w:t>（西安海关，陕西自贸试验区空港新城功能区提供）</w:t>
      </w: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案例5</w:t>
      </w: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方正小标宋简体" w:cs="Times New Roman"/>
          <w:b w:val="0"/>
          <w:b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val="en-US" w:eastAsia="zh-CN"/>
        </w:rPr>
      </w:pPr>
      <w:r>
        <w:rPr>
          <w:rFonts w:hint="eastAsia" w:ascii="方正小标宋简体" w:hAnsi="方正小标宋简体" w:eastAsia="方正小标宋简体" w:cs="方正小标宋简体"/>
          <w:b w:val="0"/>
          <w:bCs w:val="0"/>
          <w:color w:val="auto"/>
          <w:spacing w:val="0"/>
          <w:sz w:val="44"/>
          <w:szCs w:val="44"/>
          <w:lang w:val="en-US" w:eastAsia="zh-CN"/>
        </w:rPr>
        <w:t>中欧班列“长安号”运营组织新模式</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楷体" w:cs="Times New Roman"/>
          <w:bCs/>
          <w:sz w:val="32"/>
          <w:szCs w:val="32"/>
          <w:lang w:val="en-US" w:eastAsia="zh-CN"/>
        </w:rPr>
      </w:pP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近年来，陕西自贸试验区西安国际港务区功能区以建设中欧班列（西安）集结中心为目标，不断优化中欧班列“长安号”运营组织模式，提高班列运营时效，降低物流成本，助推中欧班列高质量发展，更好地服务于“一带一路”建设。</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val="en-US" w:eastAsia="zh-CN"/>
        </w:rPr>
      </w:pPr>
      <w:r>
        <w:rPr>
          <w:rStyle w:val="21"/>
          <w:rFonts w:hint="default" w:ascii="Times New Roman" w:hAnsi="Times New Roman" w:eastAsia="黑体" w:cs="Times New Roman"/>
          <w:sz w:val="32"/>
          <w:szCs w:val="32"/>
          <w:lang w:val="en-US" w:eastAsia="zh-CN"/>
        </w:rPr>
        <w:t>一、主要做法</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Cs/>
          <w:sz w:val="32"/>
          <w:szCs w:val="32"/>
          <w:lang w:val="en-US" w:eastAsia="zh-CN"/>
        </w:rPr>
      </w:pPr>
      <w:r>
        <w:rPr>
          <w:rStyle w:val="21"/>
          <w:rFonts w:hint="default" w:ascii="Times New Roman" w:hAnsi="Times New Roman" w:eastAsia="楷体_GB2312" w:cs="Times New Roman"/>
          <w:b w:val="0"/>
          <w:bCs w:val="0"/>
          <w:kern w:val="2"/>
          <w:sz w:val="32"/>
          <w:szCs w:val="32"/>
          <w:lang w:val="en-US" w:eastAsia="zh-CN" w:bidi="zh-CN"/>
        </w:rPr>
        <w:t>（一）开辟中欧班列新线路。</w:t>
      </w:r>
      <w:r>
        <w:rPr>
          <w:rFonts w:hint="default" w:ascii="仿宋_GB2312" w:hAnsi="仿宋_GB2312" w:eastAsia="仿宋_GB2312" w:cs="仿宋_GB2312"/>
          <w:bCs/>
          <w:sz w:val="32"/>
          <w:szCs w:val="32"/>
          <w:lang w:val="en-US" w:eastAsia="zh-CN"/>
        </w:rPr>
        <w:t>开行宽轨直达班列，列车由西安出发，仅需在阿拉山口一次换装，抵达波兰斯瓦夫库夫终点站之前，一直在1520mm的宽轨上运行，无需换装至标准轨即可到达欧洲腹地。开行西安—德国曼海姆线路，班列由新疆霍尔果斯出境，到达巴尔提斯克港后换乘轮渡抵达德国穆克兰港，集装箱无需从铁路车板上卸下，节省了中途换装时间。</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Cs/>
          <w:sz w:val="32"/>
          <w:szCs w:val="32"/>
          <w:lang w:val="en-US" w:eastAsia="zh-CN"/>
        </w:rPr>
      </w:pPr>
      <w:r>
        <w:rPr>
          <w:rStyle w:val="21"/>
          <w:rFonts w:hint="default" w:ascii="Times New Roman" w:hAnsi="Times New Roman" w:eastAsia="楷体_GB2312" w:cs="Times New Roman"/>
          <w:b w:val="0"/>
          <w:bCs w:val="0"/>
          <w:kern w:val="2"/>
          <w:sz w:val="32"/>
          <w:szCs w:val="32"/>
          <w:lang w:val="en-US" w:eastAsia="zh-CN" w:bidi="zh-CN"/>
        </w:rPr>
        <w:t>（二）实行站内作业新模式。</w:t>
      </w:r>
      <w:r>
        <w:rPr>
          <w:rFonts w:hint="default" w:ascii="仿宋_GB2312" w:hAnsi="仿宋_GB2312" w:eastAsia="仿宋_GB2312" w:cs="仿宋_GB2312"/>
          <w:bCs/>
          <w:sz w:val="32"/>
          <w:szCs w:val="32"/>
          <w:lang w:val="en-US" w:eastAsia="zh-CN"/>
        </w:rPr>
        <w:t>在以往模式下，中转货物经铁路运抵西安铁路集装箱中心站后，货主需及时办理到达交付及集装箱出站手续，并将货物寄存于外围堆场，待国际班列发运前再办理进站手续，运货进站。国际港务区功能区实行铁路中转货物站内作业新模式，货主与中欧班列运营公司达成委托关系，将收货人填写为运营公司，货物到站后无需出站，由运营公司统一办理到达交付手续和集装箱虚拟进出站手续，同时搬移至站内指定区域堆放，等待国际货运班列发运，有效提升作业效率，降低物流成本。</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Cs/>
          <w:sz w:val="32"/>
          <w:szCs w:val="32"/>
          <w:lang w:val="en-US" w:eastAsia="zh-CN"/>
        </w:rPr>
      </w:pPr>
      <w:r>
        <w:rPr>
          <w:rStyle w:val="21"/>
          <w:rFonts w:hint="default" w:ascii="Times New Roman" w:hAnsi="Times New Roman" w:eastAsia="楷体_GB2312" w:cs="Times New Roman"/>
          <w:b w:val="0"/>
          <w:bCs w:val="0"/>
          <w:kern w:val="2"/>
          <w:sz w:val="32"/>
          <w:szCs w:val="32"/>
          <w:lang w:val="en-US" w:eastAsia="zh-CN" w:bidi="zh-CN"/>
        </w:rPr>
        <w:t>（三）建设数字中欧班列。</w:t>
      </w:r>
      <w:r>
        <w:rPr>
          <w:rFonts w:hint="default" w:ascii="仿宋_GB2312" w:hAnsi="仿宋_GB2312" w:eastAsia="仿宋_GB2312" w:cs="仿宋_GB2312"/>
          <w:bCs/>
          <w:sz w:val="32"/>
          <w:szCs w:val="32"/>
          <w:lang w:val="en-US" w:eastAsia="zh-CN"/>
        </w:rPr>
        <w:t>打造中欧班列“长安号”信息化综合服务平台，平台搭载中文、英文、俄文及德文等多语言，以“互联网+”和大数据技术为基础，以位置应用服务为支撑，与境外物流公司信息系统对接，简化国际货运班列客户对接流程，为客户提供运价咨询、订舱、物流信息查询、交易结算、融资等多项服务，探索打造信息化物流体系。</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val="en-US" w:eastAsia="zh-CN"/>
        </w:rPr>
      </w:pPr>
      <w:r>
        <w:rPr>
          <w:rStyle w:val="21"/>
          <w:rFonts w:hint="default" w:ascii="Times New Roman" w:hAnsi="Times New Roman" w:eastAsia="黑体" w:cs="Times New Roman"/>
          <w:sz w:val="32"/>
          <w:szCs w:val="32"/>
          <w:lang w:val="en-US" w:eastAsia="zh-CN"/>
        </w:rPr>
        <w:t>二、实践效果</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Cs/>
          <w:sz w:val="32"/>
          <w:szCs w:val="32"/>
          <w:lang w:val="en-US" w:eastAsia="zh-CN"/>
        </w:rPr>
      </w:pPr>
      <w:r>
        <w:rPr>
          <w:rStyle w:val="21"/>
          <w:rFonts w:hint="default" w:ascii="Times New Roman" w:hAnsi="Times New Roman" w:eastAsia="楷体_GB2312" w:cs="Times New Roman"/>
          <w:b w:val="0"/>
          <w:bCs w:val="0"/>
          <w:kern w:val="2"/>
          <w:sz w:val="32"/>
          <w:szCs w:val="32"/>
          <w:lang w:val="en-US" w:eastAsia="zh-CN" w:bidi="zh-CN"/>
        </w:rPr>
        <w:t>（一）货运规模显著增长。</w:t>
      </w:r>
      <w:r>
        <w:rPr>
          <w:rFonts w:hint="default" w:ascii="仿宋_GB2312" w:hAnsi="仿宋_GB2312" w:eastAsia="仿宋_GB2312" w:cs="仿宋_GB2312"/>
          <w:bCs/>
          <w:sz w:val="32"/>
          <w:szCs w:val="32"/>
          <w:lang w:val="en-US" w:eastAsia="zh-CN"/>
        </w:rPr>
        <w:t>2021年“长安号”开行突破3800列，运送货物总重达284.8万吨以上，累计开行突破11300列，面向中亚、南亚、西亚及欧洲开通运行16条干线通道，涵盖44个亚欧国家和地区，基本覆盖欧亚大陆全境，中欧班列“长安号”已经成为畅通亚欧贸易、保障全球供应链安全的“黄金班列”。</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Cs/>
          <w:sz w:val="32"/>
          <w:szCs w:val="32"/>
          <w:lang w:val="en-US" w:eastAsia="zh-CN"/>
        </w:rPr>
      </w:pPr>
      <w:r>
        <w:rPr>
          <w:rStyle w:val="21"/>
          <w:rFonts w:hint="default" w:ascii="Times New Roman" w:hAnsi="Times New Roman" w:eastAsia="楷体_GB2312" w:cs="Times New Roman"/>
          <w:b w:val="0"/>
          <w:bCs w:val="0"/>
          <w:kern w:val="2"/>
          <w:sz w:val="32"/>
          <w:szCs w:val="32"/>
          <w:lang w:val="en-US" w:eastAsia="zh-CN" w:bidi="zh-CN"/>
        </w:rPr>
        <w:t>（二）运营时效大幅提升。</w:t>
      </w:r>
      <w:r>
        <w:rPr>
          <w:rFonts w:hint="default" w:ascii="仿宋_GB2312" w:hAnsi="仿宋_GB2312" w:eastAsia="仿宋_GB2312" w:cs="仿宋_GB2312"/>
          <w:bCs/>
          <w:sz w:val="32"/>
          <w:szCs w:val="32"/>
          <w:lang w:val="en-US" w:eastAsia="zh-CN"/>
        </w:rPr>
        <w:t>西安—波兰斯瓦夫库夫和西安—德国曼海姆线路，较传统的入境欧洲线路，分别节约换装及等待时间约2天和6天，有效缓解因换装站拥绪带来的时效影响。铁路中转货物站内作业新模式减少集装箱中心站卡口作业时间，有效提升作业效率，每日发送班列峰值达到7至8列，较以往提升1倍。“长安号”信息化综合服务平台整合多项物流服务，实现在线实时处理，班列订舱时间由7天缩短至1天。</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仿宋" w:cs="Times New Roman"/>
          <w:bCs/>
          <w:sz w:val="32"/>
          <w:szCs w:val="32"/>
          <w:lang w:val="en-US" w:eastAsia="zh-CN"/>
        </w:rPr>
      </w:pPr>
      <w:r>
        <w:rPr>
          <w:rStyle w:val="21"/>
          <w:rFonts w:hint="default" w:ascii="Times New Roman" w:hAnsi="Times New Roman" w:eastAsia="楷体_GB2312" w:cs="Times New Roman"/>
          <w:b w:val="0"/>
          <w:bCs w:val="0"/>
          <w:kern w:val="2"/>
          <w:sz w:val="32"/>
          <w:szCs w:val="32"/>
          <w:lang w:val="en-US" w:eastAsia="zh-CN" w:bidi="zh-CN"/>
        </w:rPr>
        <w:t>（三）物流成本有效降低。</w:t>
      </w:r>
      <w:r>
        <w:rPr>
          <w:rFonts w:hint="default" w:ascii="仿宋_GB2312" w:hAnsi="仿宋_GB2312" w:eastAsia="仿宋_GB2312" w:cs="仿宋_GB2312"/>
          <w:bCs/>
          <w:sz w:val="32"/>
          <w:szCs w:val="32"/>
          <w:lang w:val="en-US" w:eastAsia="zh-CN"/>
        </w:rPr>
        <w:t>铁路中转货物站内作业新模式在提升作业效率的同时，大幅降低企业物流成本。以一个40尺集装箱为例，在以往模式下，企业需要支付提货费、堆存费、吊装费、送站费等各类费用，采用铁路中转货物站内作业新模式后，企业仅需支付站内搬移及堆存费，物流成本较以往降低一半。</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Cs/>
          <w:sz w:val="32"/>
          <w:szCs w:val="32"/>
          <w:lang w:val="en-US" w:eastAsia="zh-CN"/>
        </w:rPr>
      </w:pPr>
      <w:r>
        <w:rPr>
          <w:rStyle w:val="21"/>
          <w:rFonts w:hint="default" w:ascii="Times New Roman" w:hAnsi="Times New Roman" w:eastAsia="楷体_GB2312" w:cs="Times New Roman"/>
          <w:b w:val="0"/>
          <w:bCs w:val="0"/>
          <w:kern w:val="2"/>
          <w:sz w:val="32"/>
          <w:szCs w:val="32"/>
          <w:lang w:val="en-US" w:eastAsia="zh-CN" w:bidi="zh-CN"/>
        </w:rPr>
        <w:t>（四）货物监管实现数字化。</w:t>
      </w:r>
      <w:r>
        <w:rPr>
          <w:rFonts w:hint="default" w:ascii="仿宋_GB2312" w:hAnsi="仿宋_GB2312" w:eastAsia="仿宋_GB2312" w:cs="仿宋_GB2312"/>
          <w:bCs/>
          <w:sz w:val="32"/>
          <w:szCs w:val="32"/>
          <w:lang w:val="en-US" w:eastAsia="zh-CN"/>
        </w:rPr>
        <w:t>“长安号”信息化综合服务平台与班列集装箱上的GPS北斗双模远程监控系统联通，将货物运输过程中的位置、施封状态、温度、湿度等信息全部数字化，使企业能够自行查询货物的实时位置和状态，有效消除了货物运输监控盲区，提高货物监管的精准度和及时性。</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val="en-US" w:eastAsia="zh-CN"/>
        </w:rPr>
      </w:pPr>
      <w:r>
        <w:rPr>
          <w:rStyle w:val="21"/>
          <w:rFonts w:hint="default" w:ascii="Times New Roman" w:hAnsi="Times New Roman" w:eastAsia="黑体" w:cs="Times New Roman"/>
          <w:sz w:val="32"/>
          <w:szCs w:val="32"/>
          <w:lang w:val="en-US" w:eastAsia="zh-CN"/>
        </w:rPr>
        <w:t>三、下一步工作思路</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仿宋_GB2312" w:cs="Times New Roman"/>
          <w:bCs/>
          <w:sz w:val="32"/>
          <w:szCs w:val="32"/>
          <w:lang w:val="en-US" w:eastAsia="zh-CN"/>
        </w:rPr>
      </w:pPr>
      <w:r>
        <w:rPr>
          <w:rFonts w:hint="default" w:ascii="仿宋_GB2312" w:hAnsi="仿宋_GB2312" w:eastAsia="仿宋_GB2312" w:cs="仿宋_GB2312"/>
          <w:bCs/>
          <w:sz w:val="32"/>
          <w:szCs w:val="32"/>
          <w:lang w:val="en-US" w:eastAsia="zh-CN"/>
        </w:rPr>
        <w:t>下一步，陕西自贸试验区西安国际港务区功能区将充分发挥制度优势，不断创新班列运营组织模式，协同海关、国铁集团、班列运营公司，持续开展差别化制度创新探索，加快建设中欧班列（西安）集结中心。</w:t>
      </w:r>
      <w:r>
        <w:rPr>
          <w:rFonts w:hint="default" w:ascii="仿宋_GB2312" w:hAnsi="仿宋_GB2312" w:eastAsia="仿宋_GB2312" w:cs="仿宋_GB2312"/>
          <w:b/>
          <w:bCs w:val="0"/>
          <w:sz w:val="32"/>
          <w:szCs w:val="32"/>
          <w:lang w:val="en-US" w:eastAsia="zh-CN"/>
        </w:rPr>
        <w:t>一是</w:t>
      </w:r>
      <w:r>
        <w:rPr>
          <w:rFonts w:hint="default" w:ascii="仿宋_GB2312" w:hAnsi="仿宋_GB2312" w:eastAsia="仿宋_GB2312" w:cs="仿宋_GB2312"/>
          <w:bCs/>
          <w:sz w:val="32"/>
          <w:szCs w:val="32"/>
          <w:lang w:val="en-US" w:eastAsia="zh-CN"/>
        </w:rPr>
        <w:t>进一步探索更高效的国内外货源归集与分拨模式，实现枢纽集结与分拨，提高班列运行时效。</w:t>
      </w:r>
      <w:r>
        <w:rPr>
          <w:rFonts w:hint="default" w:ascii="仿宋_GB2312" w:hAnsi="仿宋_GB2312" w:eastAsia="仿宋_GB2312" w:cs="仿宋_GB2312"/>
          <w:b/>
          <w:bCs w:val="0"/>
          <w:sz w:val="32"/>
          <w:szCs w:val="32"/>
          <w:lang w:val="en-US" w:eastAsia="zh-CN"/>
        </w:rPr>
        <w:t>二是</w:t>
      </w:r>
      <w:r>
        <w:rPr>
          <w:rFonts w:hint="default" w:ascii="仿宋_GB2312" w:hAnsi="仿宋_GB2312" w:eastAsia="仿宋_GB2312" w:cs="仿宋_GB2312"/>
          <w:bCs/>
          <w:sz w:val="32"/>
          <w:szCs w:val="32"/>
          <w:lang w:val="en-US" w:eastAsia="zh-CN"/>
        </w:rPr>
        <w:t>进一步简化班列运输和通关手续，创新货物查验、换装等作业模式，提高中欧班列开行质量与效能。</w:t>
      </w:r>
      <w:r>
        <w:rPr>
          <w:rFonts w:hint="default" w:ascii="仿宋_GB2312" w:hAnsi="仿宋_GB2312" w:eastAsia="仿宋_GB2312" w:cs="仿宋_GB2312"/>
          <w:b/>
          <w:bCs w:val="0"/>
          <w:sz w:val="32"/>
          <w:szCs w:val="32"/>
          <w:lang w:val="en-US" w:eastAsia="zh-CN"/>
        </w:rPr>
        <w:t>三是</w:t>
      </w:r>
      <w:r>
        <w:rPr>
          <w:rFonts w:hint="default" w:ascii="仿宋_GB2312" w:hAnsi="仿宋_GB2312" w:eastAsia="仿宋_GB2312" w:cs="仿宋_GB2312"/>
          <w:bCs/>
          <w:sz w:val="32"/>
          <w:szCs w:val="32"/>
          <w:lang w:val="en-US" w:eastAsia="zh-CN"/>
        </w:rPr>
        <w:t>进一步打造数字物流体系，整合分散资源、加强信息数据共享，拓展平合供给端、需求端、公共服务端内容和应用场景，建设智慧物流服务平台。</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right"/>
        <w:textAlignment w:val="auto"/>
        <w:rPr>
          <w:rFonts w:hint="default" w:ascii="Times New Roman" w:hAnsi="Times New Roman" w:eastAsia="仿宋_GB2312" w:cs="Times New Roman"/>
          <w:bCs/>
          <w:sz w:val="32"/>
          <w:szCs w:val="32"/>
          <w:lang w:val="en-US" w:eastAsia="zh-CN"/>
        </w:rPr>
      </w:pPr>
      <w:r>
        <w:rPr>
          <w:rFonts w:hint="default" w:ascii="Times New Roman" w:hAnsi="Times New Roman" w:eastAsia="仿宋_GB2312" w:cs="Times New Roman"/>
          <w:bCs/>
          <w:sz w:val="32"/>
          <w:szCs w:val="32"/>
          <w:lang w:val="en-US" w:eastAsia="zh-CN"/>
        </w:rPr>
        <w:t>（陕西自贸试验区西安国际港务区功能区提供）</w:t>
      </w:r>
    </w:p>
    <w:p>
      <w:pPr>
        <w:keepNext w:val="0"/>
        <w:keepLines w:val="0"/>
        <w:pageBreakBefore w:val="0"/>
        <w:widowControl w:val="0"/>
        <w:kinsoku/>
        <w:wordWrap/>
        <w:overflowPunct/>
        <w:topLinePunct w:val="0"/>
        <w:bidi w:val="0"/>
        <w:spacing w:line="560" w:lineRule="exact"/>
        <w:ind w:right="0" w:rightChars="0"/>
        <w:rPr>
          <w:rFonts w:hint="default" w:ascii="Times New Roman" w:hAnsi="Times New Roman" w:eastAsia="黑体" w:cs="Times New Roman"/>
          <w:b w:val="0"/>
          <w:bCs w:val="0"/>
          <w:sz w:val="32"/>
          <w:szCs w:val="32"/>
          <w:lang w:val="en-US" w:eastAsia="zh-CN"/>
        </w:rPr>
      </w:pPr>
      <w:r>
        <w:rPr>
          <w:rFonts w:hint="default" w:ascii="Times New Roman" w:hAnsi="Times New Roman" w:eastAsia="仿宋_GB2312" w:cs="Times New Roman"/>
          <w:lang w:val="en-US" w:eastAsia="zh-CN"/>
        </w:rPr>
        <w:br w:type="page"/>
      </w:r>
      <w:r>
        <w:rPr>
          <w:rFonts w:hint="default" w:ascii="Times New Roman" w:hAnsi="Times New Roman" w:eastAsia="黑体" w:cs="Times New Roman"/>
          <w:b w:val="0"/>
          <w:bCs w:val="0"/>
          <w:sz w:val="32"/>
          <w:szCs w:val="32"/>
          <w:lang w:val="en-US" w:eastAsia="zh-CN"/>
        </w:rPr>
        <w:t>案例6</w:t>
      </w:r>
    </w:p>
    <w:p>
      <w:pPr>
        <w:pStyle w:val="19"/>
        <w:keepNext w:val="0"/>
        <w:keepLines w:val="0"/>
        <w:pageBreakBefore w:val="0"/>
        <w:widowControl w:val="0"/>
        <w:kinsoku/>
        <w:wordWrap/>
        <w:overflowPunct/>
        <w:topLinePunct w:val="0"/>
        <w:bidi w:val="0"/>
        <w:spacing w:line="560" w:lineRule="exact"/>
        <w:ind w:left="0" w:leftChars="0" w:firstLine="0" w:firstLineChars="0"/>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eastAsia" w:ascii="方正小标宋简体" w:hAnsi="方正小标宋简体" w:eastAsia="方正小标宋简体" w:cs="方正小标宋简体"/>
          <w:b w:val="0"/>
          <w:bCs w:val="0"/>
          <w:color w:val="auto"/>
          <w:spacing w:val="0"/>
          <w:sz w:val="44"/>
          <w:szCs w:val="44"/>
          <w:lang w:val="en-US" w:eastAsia="zh-CN"/>
        </w:rPr>
        <w:t>中欧班列“长安号”数字金融综合服务平台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人行西安分行依托陕西自贸试验区西安国际港务区功能区搭建了中欧班列“长安号”数字金融综合服务平台。平台</w:t>
      </w:r>
      <w:r>
        <w:rPr>
          <w:rFonts w:hint="eastAsia" w:ascii="仿宋_GB2312" w:hAnsi="仿宋_GB2312" w:eastAsia="仿宋_GB2312" w:cs="仿宋_GB2312"/>
          <w:sz w:val="32"/>
          <w:szCs w:val="32"/>
          <w:lang w:val="en-US" w:eastAsia="zh-Hans"/>
        </w:rPr>
        <w:t>以“班列+数字金融”模式，为企业提供在线订舱报关</w:t>
      </w:r>
      <w:r>
        <w:rPr>
          <w:rFonts w:hint="eastAsia" w:ascii="仿宋_GB2312" w:hAnsi="仿宋_GB2312" w:eastAsia="仿宋_GB2312" w:cs="仿宋_GB2312"/>
          <w:sz w:val="32"/>
          <w:szCs w:val="32"/>
          <w:lang w:val="en-US" w:eastAsia="zh-CN"/>
        </w:rPr>
        <w:t>、经营信息查询、企业信用评估、</w:t>
      </w:r>
      <w:r>
        <w:rPr>
          <w:rFonts w:hint="eastAsia" w:ascii="仿宋_GB2312" w:hAnsi="仿宋_GB2312" w:eastAsia="仿宋_GB2312" w:cs="仿宋_GB2312"/>
          <w:sz w:val="32"/>
          <w:szCs w:val="32"/>
          <w:lang w:val="en-US" w:eastAsia="zh-Hans"/>
        </w:rPr>
        <w:t>线上</w:t>
      </w:r>
      <w:r>
        <w:rPr>
          <w:rFonts w:hint="eastAsia" w:ascii="仿宋_GB2312" w:hAnsi="仿宋_GB2312" w:eastAsia="仿宋_GB2312" w:cs="仿宋_GB2312"/>
          <w:sz w:val="32"/>
          <w:szCs w:val="32"/>
          <w:lang w:val="en-US" w:eastAsia="zh-CN"/>
        </w:rPr>
        <w:t>融资服务</w:t>
      </w:r>
      <w:r>
        <w:rPr>
          <w:rFonts w:hint="eastAsia" w:ascii="仿宋_GB2312" w:hAnsi="仿宋_GB2312" w:eastAsia="仿宋_GB2312" w:cs="仿宋_GB2312"/>
          <w:sz w:val="32"/>
          <w:szCs w:val="32"/>
          <w:lang w:val="en-US" w:eastAsia="zh-Hans"/>
        </w:rPr>
        <w:t>等功能，有效解决“长安号”</w:t>
      </w:r>
      <w:r>
        <w:rPr>
          <w:rFonts w:hint="eastAsia" w:ascii="仿宋_GB2312" w:hAnsi="仿宋_GB2312" w:eastAsia="仿宋_GB2312" w:cs="仿宋_GB2312"/>
          <w:sz w:val="32"/>
          <w:szCs w:val="32"/>
          <w:lang w:val="en-US" w:eastAsia="zh-CN"/>
        </w:rPr>
        <w:t>供应链</w:t>
      </w:r>
      <w:r>
        <w:rPr>
          <w:rFonts w:hint="eastAsia" w:ascii="仿宋_GB2312" w:hAnsi="仿宋_GB2312" w:eastAsia="仿宋_GB2312" w:cs="仿宋_GB2312"/>
          <w:sz w:val="32"/>
          <w:szCs w:val="32"/>
          <w:lang w:val="en-US" w:eastAsia="zh-Hans"/>
        </w:rPr>
        <w:t>企业</w:t>
      </w:r>
      <w:r>
        <w:rPr>
          <w:rFonts w:hint="eastAsia" w:ascii="仿宋_GB2312" w:hAnsi="仿宋_GB2312" w:eastAsia="仿宋_GB2312" w:cs="仿宋_GB2312"/>
          <w:sz w:val="32"/>
          <w:szCs w:val="32"/>
          <w:lang w:val="en-US" w:eastAsia="zh-CN"/>
        </w:rPr>
        <w:t>融资难、融资慢、结算难、汇率风险大</w:t>
      </w:r>
      <w:r>
        <w:rPr>
          <w:rFonts w:hint="eastAsia" w:ascii="仿宋_GB2312" w:hAnsi="仿宋_GB2312" w:eastAsia="仿宋_GB2312" w:cs="仿宋_GB2312"/>
          <w:sz w:val="32"/>
          <w:szCs w:val="32"/>
          <w:lang w:val="en-US" w:eastAsia="zh-Hans"/>
        </w:rPr>
        <w:t>等问题，助力中欧班列</w:t>
      </w:r>
      <w:r>
        <w:rPr>
          <w:rFonts w:hint="eastAsia" w:ascii="仿宋_GB2312" w:hAnsi="仿宋_GB2312" w:eastAsia="仿宋_GB2312" w:cs="仿宋_GB2312"/>
          <w:sz w:val="32"/>
          <w:szCs w:val="32"/>
          <w:lang w:val="en-US" w:eastAsia="zh-CN"/>
        </w:rPr>
        <w:t>“长安号”</w:t>
      </w:r>
      <w:r>
        <w:rPr>
          <w:rFonts w:hint="eastAsia" w:ascii="仿宋_GB2312" w:hAnsi="仿宋_GB2312" w:eastAsia="仿宋_GB2312" w:cs="仿宋_GB2312"/>
          <w:sz w:val="32"/>
          <w:szCs w:val="32"/>
          <w:lang w:val="en-US" w:eastAsia="zh-Hans"/>
        </w:rPr>
        <w:t>高质量发展。</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val="en-US" w:eastAsia="zh-CN"/>
        </w:rPr>
      </w:pPr>
      <w:r>
        <w:rPr>
          <w:rStyle w:val="21"/>
          <w:rFonts w:hint="default" w:ascii="Times New Roman" w:hAnsi="Times New Roman" w:eastAsia="黑体" w:cs="Times New Roman"/>
          <w:sz w:val="32"/>
          <w:szCs w:val="32"/>
          <w:lang w:val="en-US" w:eastAsia="zh-CN"/>
        </w:rPr>
        <w:t>一、平台功能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（一）在线订舱报关。</w:t>
      </w:r>
      <w:r>
        <w:rPr>
          <w:rFonts w:hint="default" w:ascii="仿宋_GB2312" w:hAnsi="仿宋_GB2312" w:eastAsia="仿宋_GB2312" w:cs="仿宋_GB2312"/>
          <w:sz w:val="32"/>
          <w:szCs w:val="32"/>
          <w:lang w:val="en-US" w:eastAsia="zh-CN"/>
        </w:rPr>
        <w:t>主要面向企业提供在线订舱、报关、发运、结算等服务，依托北斗定位系统及全球无线网络环境，实时掌握在途集装箱的位置、施封状态、温度、湿度等信息，实现货物的全流程24小时监管。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（二）经营信息查询。</w:t>
      </w:r>
      <w:r>
        <w:rPr>
          <w:rFonts w:hint="default" w:ascii="仿宋_GB2312" w:hAnsi="仿宋_GB2312" w:eastAsia="仿宋_GB2312" w:cs="仿宋_GB2312"/>
          <w:sz w:val="32"/>
          <w:szCs w:val="32"/>
          <w:lang w:val="en-US" w:eastAsia="zh-CN"/>
        </w:rPr>
        <w:t>为银行提供企业经营数据的查询渠道，借助平台沉淀的企业经营信息，包括基本信息、历史订舱信息和历史融资信息，丰富银行贷前风控评价指标</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增强企业融资信用水平，提升银行贷款意愿。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（三）企业信用评估。</w:t>
      </w:r>
      <w:r>
        <w:rPr>
          <w:rFonts w:hint="default" w:ascii="仿宋_GB2312" w:hAnsi="仿宋_GB2312" w:eastAsia="仿宋_GB2312" w:cs="仿宋_GB2312"/>
          <w:sz w:val="32"/>
          <w:szCs w:val="32"/>
          <w:lang w:val="en-US" w:eastAsia="zh-CN"/>
        </w:rPr>
        <w:t>平台借助大数据，为企业信用风险“画像”，形成“推荐名单”，帮助银行精准识别资质良好的企业，科学高效作出信贷决策，大大缩短贷前调查时间，降低银行获客成本，提高贷款审批效率，助力平台培育和壮大优质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（四）线上融资服务。</w:t>
      </w:r>
      <w:r>
        <w:rPr>
          <w:rFonts w:hint="default" w:ascii="仿宋_GB2312" w:hAnsi="仿宋_GB2312" w:eastAsia="仿宋_GB2312" w:cs="仿宋_GB2312"/>
          <w:sz w:val="32"/>
          <w:szCs w:val="32"/>
          <w:lang w:val="en-US" w:eastAsia="zh-CN"/>
        </w:rPr>
        <w:t>面向平台企业提供基于订舱单的融资服务，通过区块链存证技术核验订舱单的真实性，应用智能合约校验融资的可用额度，为企业拓展以电子化订舱单为融资依据的融资新渠道；创设国际联运提单和相应的融资产品，赋予了铁路提单物权属性，进口商仅凭一张铁路提单即可获取信用贷款，有效解决进口贸易中小微企业融资难问题。</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val="en-US" w:eastAsia="zh-CN"/>
        </w:rPr>
      </w:pPr>
      <w:r>
        <w:rPr>
          <w:rStyle w:val="21"/>
          <w:rFonts w:hint="default" w:ascii="Times New Roman" w:hAnsi="Times New Roman" w:eastAsia="黑体" w:cs="Times New Roman"/>
          <w:sz w:val="32"/>
          <w:szCs w:val="32"/>
          <w:lang w:val="en-US" w:eastAsia="zh-CN"/>
        </w:rPr>
        <w:t>二、实践效果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平台上线以来，已有中国银行、工商银行、建设银行、浦发银行、招商银行、西安银行、国家开发银行、进出口银行、农业银行、民生银行等10家银行上线10余种金融产品，为33家企业提供资金支持21.3亿元人民币，得到了社会各界的高度称赞和充分认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Times New Roman" w:hAnsi="Times New Roman" w:eastAsia="仿宋" w:cs="Times New Roman"/>
          <w:sz w:val="32"/>
          <w:szCs w:val="32"/>
          <w:lang w:eastAsia="zh-CN"/>
        </w:rPr>
      </w:pPr>
      <w:r>
        <w:rPr>
          <w:rStyle w:val="21"/>
          <w:rFonts w:hint="default" w:ascii="Times New Roman" w:hAnsi="Times New Roman" w:eastAsia="楷体_GB2312" w:cs="Times New Roman"/>
          <w:b w:val="0"/>
          <w:bCs w:val="0"/>
          <w:sz w:val="32"/>
          <w:szCs w:val="32"/>
          <w:lang w:val="en-US" w:eastAsia="zh-CN" w:bidi="zh-CN"/>
        </w:rPr>
        <w:t>（一）创</w:t>
      </w:r>
      <w:r>
        <w:rPr>
          <w:rStyle w:val="21"/>
          <w:rFonts w:hint="default" w:ascii="Times New Roman" w:hAnsi="Times New Roman" w:eastAsia="楷体_GB2312" w:cs="Times New Roman"/>
          <w:b w:val="0"/>
          <w:bCs w:val="0"/>
          <w:sz w:val="32"/>
          <w:szCs w:val="32"/>
          <w:lang w:val="en-US" w:eastAsia="zh-Hans" w:bidi="zh-CN"/>
        </w:rPr>
        <w:t>新</w:t>
      </w:r>
      <w:r>
        <w:rPr>
          <w:rStyle w:val="21"/>
          <w:rFonts w:hint="default" w:ascii="Times New Roman" w:hAnsi="Times New Roman" w:eastAsia="楷体_GB2312" w:cs="Times New Roman"/>
          <w:b w:val="0"/>
          <w:bCs w:val="0"/>
          <w:sz w:val="32"/>
          <w:szCs w:val="32"/>
          <w:lang w:val="en-US" w:eastAsia="zh-CN" w:bidi="zh-CN"/>
        </w:rPr>
        <w:t>金融产品，满足企业需求。</w:t>
      </w:r>
      <w:r>
        <w:rPr>
          <w:rFonts w:hint="default" w:ascii="仿宋_GB2312" w:hAnsi="仿宋_GB2312" w:eastAsia="仿宋_GB2312" w:cs="仿宋_GB2312"/>
          <w:sz w:val="32"/>
          <w:szCs w:val="32"/>
          <w:lang w:val="en-US" w:eastAsia="zh-CN"/>
        </w:rPr>
        <w:t>平台自2021年6月上线以来，已有多家银行针对市场需求，推出个性化、线上化融资产品。比如浦发银行推出了“浦运通”“浦汇通”等产品，首批准入了52家本地货代企业，有效解决了企业订舱融资需求。中国</w:t>
      </w:r>
      <w:r>
        <w:rPr>
          <w:rFonts w:hint="default" w:ascii="仿宋_GB2312" w:hAnsi="仿宋_GB2312" w:eastAsia="仿宋_GB2312" w:cs="仿宋_GB2312"/>
          <w:sz w:val="32"/>
          <w:szCs w:val="32"/>
          <w:lang w:val="en-US" w:eastAsia="zh-Hans"/>
        </w:rPr>
        <w:t>工商银行依托平台</w:t>
      </w:r>
      <w:r>
        <w:rPr>
          <w:rFonts w:hint="default" w:ascii="仿宋_GB2312" w:hAnsi="仿宋_GB2312" w:eastAsia="仿宋_GB2312" w:cs="仿宋_GB2312"/>
          <w:sz w:val="32"/>
          <w:szCs w:val="32"/>
          <w:lang w:val="en-US" w:eastAsia="zh-CN"/>
        </w:rPr>
        <w:t>采用</w:t>
      </w:r>
      <w:r>
        <w:rPr>
          <w:rFonts w:hint="default" w:ascii="仿宋_GB2312" w:hAnsi="仿宋_GB2312" w:eastAsia="仿宋_GB2312" w:cs="仿宋_GB2312"/>
          <w:sz w:val="32"/>
          <w:szCs w:val="32"/>
          <w:lang w:val="en-US" w:eastAsia="zh-Hans"/>
        </w:rPr>
        <w:t>“</w:t>
      </w:r>
      <w:r>
        <w:rPr>
          <w:rFonts w:hint="default" w:ascii="仿宋_GB2312" w:hAnsi="仿宋_GB2312" w:eastAsia="仿宋_GB2312" w:cs="仿宋_GB2312"/>
          <w:sz w:val="32"/>
          <w:szCs w:val="32"/>
          <w:lang w:val="en-US" w:eastAsia="zh-CN"/>
        </w:rPr>
        <w:t>客户批量优选+额度主动推送</w:t>
      </w:r>
      <w:r>
        <w:rPr>
          <w:rFonts w:hint="default" w:ascii="仿宋_GB2312" w:hAnsi="仿宋_GB2312" w:eastAsia="仿宋_GB2312" w:cs="仿宋_GB2312"/>
          <w:sz w:val="32"/>
          <w:szCs w:val="32"/>
          <w:lang w:val="en-US" w:eastAsia="zh-Hans"/>
        </w:rPr>
        <w:t>”</w:t>
      </w:r>
      <w:r>
        <w:rPr>
          <w:rFonts w:hint="default" w:ascii="仿宋_GB2312" w:hAnsi="仿宋_GB2312" w:eastAsia="仿宋_GB2312" w:cs="仿宋_GB2312"/>
          <w:sz w:val="32"/>
          <w:szCs w:val="32"/>
          <w:lang w:val="en-US" w:eastAsia="zh-CN"/>
        </w:rPr>
        <w:t>模式，</w:t>
      </w:r>
      <w:r>
        <w:rPr>
          <w:rFonts w:hint="default" w:ascii="仿宋_GB2312" w:hAnsi="仿宋_GB2312" w:eastAsia="仿宋_GB2312" w:cs="仿宋_GB2312"/>
          <w:sz w:val="32"/>
          <w:szCs w:val="32"/>
          <w:lang w:val="en-US" w:eastAsia="zh-Hans"/>
        </w:rPr>
        <w:t>投放</w:t>
      </w:r>
      <w:r>
        <w:rPr>
          <w:rFonts w:hint="default" w:ascii="仿宋_GB2312" w:hAnsi="仿宋_GB2312" w:eastAsia="仿宋_GB2312" w:cs="仿宋_GB2312"/>
          <w:sz w:val="32"/>
          <w:szCs w:val="32"/>
          <w:lang w:val="en-US" w:eastAsia="zh-CN"/>
        </w:rPr>
        <w:t>小微企业的纯信用、全线上融资服务产品，满足小微企业融资需求。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（二）多平台联动，提升融资效率。</w:t>
      </w:r>
      <w:r>
        <w:rPr>
          <w:rFonts w:hint="default" w:ascii="仿宋_GB2312" w:hAnsi="仿宋_GB2312" w:eastAsia="仿宋_GB2312" w:cs="仿宋_GB2312"/>
          <w:sz w:val="32"/>
          <w:szCs w:val="32"/>
          <w:lang w:val="en-US" w:eastAsia="zh-CN"/>
        </w:rPr>
        <w:t>平台与跨境金融区块链服务平台对接，</w:t>
      </w:r>
      <w:r>
        <w:rPr>
          <w:rFonts w:hint="default" w:ascii="仿宋_GB2312" w:hAnsi="仿宋_GB2312" w:eastAsia="仿宋_GB2312" w:cs="仿宋_GB2312"/>
          <w:sz w:val="32"/>
          <w:szCs w:val="32"/>
          <w:lang w:val="en-US" w:eastAsia="zh-Hans"/>
        </w:rPr>
        <w:t>助力银企实现</w:t>
      </w:r>
      <w:r>
        <w:rPr>
          <w:rFonts w:hint="default" w:ascii="仿宋_GB2312" w:hAnsi="仿宋_GB2312" w:eastAsia="仿宋_GB2312" w:cs="仿宋_GB2312"/>
          <w:sz w:val="32"/>
          <w:szCs w:val="32"/>
          <w:lang w:val="en-US" w:eastAsia="zh-CN"/>
        </w:rPr>
        <w:t>融资申请、资质审查、信息核验、额度核算、银行授信等工作一站式办理，使银行融资审核周期由数天时间降至10分钟内，有效降低企业融资时间成本，</w:t>
      </w:r>
      <w:r>
        <w:rPr>
          <w:rFonts w:hint="default" w:ascii="仿宋_GB2312" w:hAnsi="仿宋_GB2312" w:eastAsia="仿宋_GB2312" w:cs="仿宋_GB2312"/>
          <w:sz w:val="32"/>
          <w:szCs w:val="32"/>
          <w:lang w:val="en-US" w:eastAsia="zh-Hans"/>
        </w:rPr>
        <w:t>显著提升企业融资效率</w:t>
      </w:r>
      <w:r>
        <w:rPr>
          <w:rFonts w:hint="default"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（三）发挥科技优势，降低信贷风险。</w:t>
      </w:r>
      <w:r>
        <w:rPr>
          <w:rFonts w:hint="default" w:ascii="仿宋_GB2312" w:hAnsi="仿宋_GB2312" w:eastAsia="仿宋_GB2312" w:cs="仿宋_GB2312"/>
          <w:sz w:val="32"/>
          <w:szCs w:val="32"/>
          <w:lang w:val="en-US" w:eastAsia="zh-Hans"/>
        </w:rPr>
        <w:t>平台将区块链技术与融资服务融合，充分发挥区块链防篡改技术特点，</w:t>
      </w:r>
      <w:r>
        <w:rPr>
          <w:rFonts w:hint="default" w:ascii="仿宋_GB2312" w:hAnsi="仿宋_GB2312" w:eastAsia="仿宋_GB2312" w:cs="仿宋_GB2312"/>
          <w:sz w:val="32"/>
          <w:szCs w:val="32"/>
          <w:lang w:val="en-US" w:eastAsia="zh-CN"/>
        </w:rPr>
        <w:t>便利银行快速精准完成信贷查证和项目审核，帮助银行为有融资需求企业进行</w:t>
      </w:r>
      <w:r>
        <w:rPr>
          <w:rFonts w:hint="default" w:ascii="仿宋_GB2312" w:hAnsi="仿宋_GB2312" w:eastAsia="仿宋_GB2312" w:cs="仿宋_GB2312"/>
          <w:sz w:val="32"/>
          <w:szCs w:val="32"/>
          <w:lang w:val="en-US" w:eastAsia="zh-Hans"/>
        </w:rPr>
        <w:t>金融风险</w:t>
      </w:r>
      <w:r>
        <w:rPr>
          <w:rFonts w:hint="default" w:ascii="仿宋_GB2312" w:hAnsi="仿宋_GB2312" w:eastAsia="仿宋_GB2312" w:cs="仿宋_GB2312"/>
          <w:sz w:val="32"/>
          <w:szCs w:val="32"/>
          <w:lang w:val="en-US" w:eastAsia="zh-CN"/>
        </w:rPr>
        <w:t>画像，</w:t>
      </w:r>
      <w:r>
        <w:rPr>
          <w:rFonts w:hint="default" w:ascii="仿宋_GB2312" w:hAnsi="仿宋_GB2312" w:eastAsia="仿宋_GB2312" w:cs="仿宋_GB2312"/>
          <w:sz w:val="32"/>
          <w:szCs w:val="32"/>
          <w:lang w:val="en-US" w:eastAsia="zh-Hans"/>
        </w:rPr>
        <w:t>提升银行信贷</w:t>
      </w:r>
      <w:r>
        <w:rPr>
          <w:rFonts w:hint="default" w:ascii="仿宋_GB2312" w:hAnsi="仿宋_GB2312" w:eastAsia="仿宋_GB2312" w:cs="仿宋_GB2312"/>
          <w:sz w:val="32"/>
          <w:szCs w:val="32"/>
          <w:lang w:val="en-US" w:eastAsia="zh-CN"/>
        </w:rPr>
        <w:t>风险防范能力。</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val="en-US" w:eastAsia="zh-CN"/>
        </w:rPr>
      </w:pPr>
      <w:r>
        <w:rPr>
          <w:rStyle w:val="21"/>
          <w:rFonts w:hint="default" w:ascii="Times New Roman" w:hAnsi="Times New Roman" w:eastAsia="黑体" w:cs="Times New Roman"/>
          <w:sz w:val="32"/>
          <w:szCs w:val="32"/>
          <w:lang w:val="en-US" w:eastAsia="zh-CN"/>
        </w:rPr>
        <w:t>三、下一步工作思路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下一步，人行西安分行将继续会同西安国际港务区功能区，进一步丰富和完善平台功能，提高平台的友好性和普适性，同时积极宣传推广平台，指导更多的银行、更多的企业使用该平台，不断提供高标准、高水平的外汇金融服务。</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outlineLvl w:val="9"/>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（人行西安分行，陕西自贸试验区西安国际港务区功能区提供）</w:t>
      </w: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案例7</w:t>
      </w:r>
    </w:p>
    <w:p>
      <w:pPr>
        <w:pStyle w:val="7"/>
        <w:keepNext w:val="0"/>
        <w:keepLines w:val="0"/>
        <w:pageBreakBefore w:val="0"/>
        <w:widowControl w:val="0"/>
        <w:kinsoku/>
        <w:wordWrap/>
        <w:overflowPunct/>
        <w:topLinePunct w:val="0"/>
        <w:autoSpaceDE/>
        <w:autoSpaceDN/>
        <w:bidi w:val="0"/>
        <w:adjustRightInd/>
        <w:snapToGrid/>
        <w:spacing w:after="0" w:afterLines="0" w:line="560" w:lineRule="exact"/>
        <w:ind w:left="0" w:leftChars="0" w:firstLine="0" w:firstLineChars="0"/>
        <w:textAlignment w:val="auto"/>
        <w:rPr>
          <w:rFonts w:hint="default" w:ascii="Times New Roman" w:hAnsi="Times New Roman" w:eastAsia="黑体"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default" w:ascii="Times New Roman" w:hAnsi="Times New Roman" w:eastAsia="方正小标宋简体" w:cs="Times New Roman"/>
          <w:b w:val="0"/>
          <w:bCs w:val="0"/>
          <w:color w:val="auto"/>
          <w:spacing w:val="0"/>
          <w:sz w:val="44"/>
          <w:szCs w:val="44"/>
          <w:lang w:val="en-US" w:eastAsia="zh-CN"/>
        </w:rPr>
        <w:t>国际化多元化法律综合服务体系</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default" w:ascii="Times New Roman" w:hAnsi="Times New Roman" w:eastAsia="仿宋_GB2312" w:cs="Times New Roman"/>
          <w:sz w:val="32"/>
          <w:szCs w:val="32"/>
        </w:rPr>
      </w:pP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立足深化完善自贸试验区国际商事调解和国际化法律服务，</w:t>
      </w:r>
      <w:r>
        <w:rPr>
          <w:rFonts w:hint="eastAsia" w:ascii="仿宋_GB2312" w:hAnsi="仿宋_GB2312" w:eastAsia="仿宋_GB2312" w:cs="仿宋_GB2312"/>
          <w:sz w:val="32"/>
          <w:szCs w:val="32"/>
          <w:lang w:eastAsia="zh-CN"/>
        </w:rPr>
        <w:t>陕西自贸试验区能源金贸功能区</w:t>
      </w:r>
      <w:r>
        <w:rPr>
          <w:rFonts w:hint="eastAsia" w:ascii="仿宋_GB2312" w:hAnsi="仿宋_GB2312" w:eastAsia="仿宋_GB2312" w:cs="仿宋_GB2312"/>
          <w:sz w:val="32"/>
          <w:szCs w:val="32"/>
        </w:rPr>
        <w:t>整合国内外高端法律服务机构、中介咨询资源，聚焦项目对接、风险化解、纠纷调解等功能，组建法律服务创新联合体，搭建国际化法律服务平台，探索多元化法律服务机制，为“一带一路”建设提供了国际化、多元化、便利化法治保障。</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一、主要做法</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default" w:ascii="Times New Roman" w:hAnsi="Times New Roman" w:eastAsia="仿宋_GB2312" w:cs="Times New Roman"/>
          <w:sz w:val="32"/>
          <w:szCs w:val="32"/>
        </w:rPr>
      </w:pPr>
      <w:r>
        <w:rPr>
          <w:rStyle w:val="21"/>
          <w:rFonts w:hint="default" w:ascii="Times New Roman" w:hAnsi="Times New Roman" w:eastAsia="楷体_GB2312" w:cs="Times New Roman"/>
          <w:b w:val="0"/>
          <w:bCs w:val="0"/>
          <w:kern w:val="2"/>
          <w:sz w:val="32"/>
          <w:szCs w:val="32"/>
          <w:lang w:val="en-US" w:eastAsia="zh-CN" w:bidi="zh-CN"/>
        </w:rPr>
        <w:t>（一）组建法律服务创新联合体。</w:t>
      </w:r>
      <w:r>
        <w:rPr>
          <w:rFonts w:hint="default" w:ascii="仿宋_GB2312" w:hAnsi="仿宋_GB2312" w:eastAsia="仿宋_GB2312" w:cs="仿宋_GB2312"/>
          <w:sz w:val="32"/>
          <w:szCs w:val="32"/>
          <w:lang w:eastAsia="zh-CN"/>
        </w:rPr>
        <w:t>制定扶持法律服务业创新发展的专项政策，集聚具备涉外法律服务能力的优质法律服务机构和人才。搭建以商事调解、法律援助、公证、仲裁评估、法院诉讼、人民调解为主，以司法鉴定、涉外法律检索等为补充的“6+X”涉外法律服务体系。加快涉外法律服务数字化探索，将5G、人工智能、区块链技术等应用在审判、仲裁、公证、调解等应用场景中，推出互联网审判、智慧公证、智慧调解等新型法律服务。</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kern w:val="2"/>
          <w:sz w:val="32"/>
          <w:szCs w:val="32"/>
          <w:lang w:val="en-US" w:eastAsia="zh-CN" w:bidi="zh-CN"/>
        </w:rPr>
        <w:t>（二）搭建国际化法律服务平台。</w:t>
      </w:r>
      <w:r>
        <w:rPr>
          <w:rFonts w:hint="default" w:ascii="仿宋_GB2312" w:hAnsi="仿宋_GB2312" w:eastAsia="仿宋_GB2312" w:cs="仿宋_GB2312"/>
          <w:b/>
          <w:bCs/>
          <w:sz w:val="32"/>
          <w:szCs w:val="32"/>
          <w:lang w:eastAsia="zh-CN"/>
        </w:rPr>
        <w:t>一是</w:t>
      </w:r>
      <w:r>
        <w:rPr>
          <w:rFonts w:hint="default" w:ascii="仿宋_GB2312" w:hAnsi="仿宋_GB2312" w:eastAsia="仿宋_GB2312" w:cs="仿宋_GB2312"/>
          <w:sz w:val="32"/>
          <w:szCs w:val="32"/>
          <w:lang w:eastAsia="zh-CN"/>
        </w:rPr>
        <w:t>搭建涉外法律法规咨询服务平台。整合域外法律信息，为企业和个人提供外国法律、国际条约和国际惯例等域外法的法律查明、适用条件和专家咨询服务，为国际化法律实践提供高效的域外法查询服务。</w:t>
      </w:r>
      <w:r>
        <w:rPr>
          <w:rFonts w:hint="default" w:ascii="仿宋_GB2312" w:hAnsi="仿宋_GB2312" w:eastAsia="仿宋_GB2312" w:cs="仿宋_GB2312"/>
          <w:b/>
          <w:bCs/>
          <w:sz w:val="32"/>
          <w:szCs w:val="32"/>
          <w:lang w:eastAsia="zh-CN"/>
        </w:rPr>
        <w:t>二是</w:t>
      </w:r>
      <w:r>
        <w:rPr>
          <w:rFonts w:hint="default" w:ascii="仿宋_GB2312" w:hAnsi="仿宋_GB2312" w:eastAsia="仿宋_GB2312" w:cs="仿宋_GB2312"/>
          <w:sz w:val="32"/>
          <w:szCs w:val="32"/>
          <w:lang w:eastAsia="zh-CN"/>
        </w:rPr>
        <w:t>搭建国际商事调解平台。选任海内外具备资质的调解员，完善调解规则体系，解决跨境纠纷地域难题。企业可在线申请跨区域调解并选择调解员，就近就便参加线上线下调解。</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kern w:val="2"/>
          <w:sz w:val="32"/>
          <w:szCs w:val="32"/>
          <w:lang w:val="en-US" w:eastAsia="zh-CN" w:bidi="zh-CN"/>
        </w:rPr>
        <w:t>（三）探索多元化法律服务机制。</w:t>
      </w:r>
      <w:r>
        <w:rPr>
          <w:rFonts w:hint="default" w:ascii="仿宋_GB2312" w:hAnsi="仿宋_GB2312" w:eastAsia="仿宋_GB2312" w:cs="仿宋_GB2312"/>
          <w:b/>
          <w:bCs/>
          <w:sz w:val="32"/>
          <w:szCs w:val="32"/>
          <w:lang w:eastAsia="zh-CN"/>
        </w:rPr>
        <w:t>一是</w:t>
      </w:r>
      <w:r>
        <w:rPr>
          <w:rFonts w:hint="default" w:ascii="仿宋_GB2312" w:hAnsi="仿宋_GB2312" w:eastAsia="仿宋_GB2312" w:cs="仿宋_GB2312"/>
          <w:sz w:val="32"/>
          <w:szCs w:val="32"/>
          <w:lang w:eastAsia="zh-CN"/>
        </w:rPr>
        <w:t>与港澳地区开展法律服务合作试点。试点港澳律所与内地律所合伙联营，在账户开设、管理模式等领域与司法、外汇、银行等部门协同，创新联营所落地机制。</w:t>
      </w:r>
      <w:r>
        <w:rPr>
          <w:rFonts w:hint="default" w:ascii="仿宋_GB2312" w:hAnsi="仿宋_GB2312" w:eastAsia="仿宋_GB2312" w:cs="仿宋_GB2312"/>
          <w:b/>
          <w:bCs/>
          <w:sz w:val="32"/>
          <w:szCs w:val="32"/>
          <w:lang w:eastAsia="zh-CN"/>
        </w:rPr>
        <w:t>二是</w:t>
      </w:r>
      <w:r>
        <w:rPr>
          <w:rFonts w:hint="default" w:ascii="仿宋_GB2312" w:hAnsi="仿宋_GB2312" w:eastAsia="仿宋_GB2312" w:cs="仿宋_GB2312"/>
          <w:sz w:val="32"/>
          <w:szCs w:val="32"/>
          <w:lang w:eastAsia="zh-CN"/>
        </w:rPr>
        <w:t>构建“一带一路”法律服务机制。建设“一带一路”法律服务创新中心，聚焦项目对接、风险化解和纠纷调解，联动“一带一路”沿线国家和地区的商会及金融、法律、商务中介等服务机构，为“走出去”企业提供投资政策、法律咨询、金融保险、风险防范、信息共享等全方位服务。</w:t>
      </w:r>
      <w:r>
        <w:rPr>
          <w:rFonts w:hint="default" w:ascii="仿宋_GB2312" w:hAnsi="仿宋_GB2312" w:eastAsia="仿宋_GB2312" w:cs="仿宋_GB2312"/>
          <w:b/>
          <w:bCs/>
          <w:sz w:val="32"/>
          <w:szCs w:val="32"/>
          <w:lang w:eastAsia="zh-CN"/>
        </w:rPr>
        <w:t>三是</w:t>
      </w:r>
      <w:r>
        <w:rPr>
          <w:rFonts w:hint="default" w:ascii="仿宋_GB2312" w:hAnsi="仿宋_GB2312" w:eastAsia="仿宋_GB2312" w:cs="仿宋_GB2312"/>
          <w:sz w:val="32"/>
          <w:szCs w:val="32"/>
          <w:lang w:eastAsia="zh-CN"/>
        </w:rPr>
        <w:t>建立多元化国际商事争端解决机制。支持律所与法院、仲裁机构、公证处等法律服务机构联动，建立诉讼、仲裁、公证、调解等有机衔接的国际商事多元化纠纷解决机制。</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二、实践效果</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kern w:val="2"/>
          <w:sz w:val="32"/>
          <w:szCs w:val="32"/>
          <w:lang w:val="en-US" w:eastAsia="zh-CN" w:bidi="zh-CN"/>
        </w:rPr>
        <w:t>（一）法律服务联合体影响进一步扩大。</w:t>
      </w:r>
      <w:r>
        <w:rPr>
          <w:rFonts w:hint="default" w:ascii="仿宋_GB2312" w:hAnsi="仿宋_GB2312" w:eastAsia="仿宋_GB2312" w:cs="仿宋_GB2312"/>
          <w:sz w:val="32"/>
          <w:szCs w:val="32"/>
          <w:lang w:eastAsia="zh-CN"/>
        </w:rPr>
        <w:t>法律服务创新联合体实现了“政商学研企”法务资源高度集聚，将普法宣传、调解、法律援助等法律服务功能下沉到产业园区，延伸至企业和劳动者身边，相关影响辐射至宝鸡、榆林、西宁等城市。</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kern w:val="2"/>
          <w:sz w:val="32"/>
          <w:szCs w:val="32"/>
          <w:lang w:val="en-US" w:eastAsia="zh-CN" w:bidi="zh-CN"/>
        </w:rPr>
        <w:t>（二）国际化法律服务成效进一步凸显。</w:t>
      </w:r>
      <w:r>
        <w:rPr>
          <w:rFonts w:hint="default" w:ascii="仿宋_GB2312" w:hAnsi="仿宋_GB2312" w:eastAsia="仿宋_GB2312" w:cs="仿宋_GB2312"/>
          <w:sz w:val="32"/>
          <w:szCs w:val="32"/>
          <w:lang w:eastAsia="zh-CN"/>
        </w:rPr>
        <w:t>国际商事调解平台累计签约调解员</w:t>
      </w:r>
      <w:r>
        <w:rPr>
          <w:rFonts w:hint="default" w:ascii="仿宋_GB2312" w:hAnsi="仿宋_GB2312" w:eastAsia="仿宋_GB2312" w:cs="仿宋_GB2312"/>
          <w:sz w:val="32"/>
          <w:szCs w:val="32"/>
          <w:lang w:val="en-US" w:eastAsia="zh-CN"/>
        </w:rPr>
        <w:t>562</w:t>
      </w:r>
      <w:r>
        <w:rPr>
          <w:rFonts w:hint="default" w:ascii="仿宋_GB2312" w:hAnsi="仿宋_GB2312" w:eastAsia="仿宋_GB2312" w:cs="仿宋_GB2312"/>
          <w:sz w:val="32"/>
          <w:szCs w:val="32"/>
          <w:lang w:eastAsia="zh-CN"/>
        </w:rPr>
        <w:t>名，其中境外调解员占16%，通过智慧调解等方式受理各类涉外案件</w:t>
      </w:r>
      <w:r>
        <w:rPr>
          <w:rFonts w:hint="default" w:ascii="仿宋_GB2312" w:hAnsi="仿宋_GB2312" w:eastAsia="仿宋_GB2312" w:cs="仿宋_GB2312"/>
          <w:sz w:val="32"/>
          <w:szCs w:val="32"/>
          <w:lang w:val="en-US" w:eastAsia="zh-CN"/>
        </w:rPr>
        <w:t>8</w:t>
      </w:r>
      <w:r>
        <w:rPr>
          <w:rFonts w:hint="default" w:ascii="仿宋_GB2312" w:hAnsi="仿宋_GB2312" w:eastAsia="仿宋_GB2312" w:cs="仿宋_GB2312"/>
          <w:sz w:val="32"/>
          <w:szCs w:val="32"/>
          <w:lang w:eastAsia="zh-CN"/>
        </w:rPr>
        <w:t>000余件，调解成功率达61%。涉外法律法规咨询服务平台为法院、政府部门、当事人、律师等主体提供域外法律查明报告共计</w:t>
      </w:r>
      <w:r>
        <w:rPr>
          <w:rFonts w:hint="default" w:ascii="仿宋_GB2312" w:hAnsi="仿宋_GB2312" w:eastAsia="仿宋_GB2312" w:cs="仿宋_GB2312"/>
          <w:sz w:val="32"/>
          <w:szCs w:val="32"/>
          <w:lang w:val="en-US" w:eastAsia="zh-CN"/>
        </w:rPr>
        <w:t>2</w:t>
      </w:r>
      <w:r>
        <w:rPr>
          <w:rFonts w:hint="default" w:ascii="仿宋_GB2312" w:hAnsi="仿宋_GB2312" w:eastAsia="仿宋_GB2312" w:cs="仿宋_GB2312"/>
          <w:sz w:val="32"/>
          <w:szCs w:val="32"/>
          <w:lang w:eastAsia="zh-CN"/>
        </w:rPr>
        <w:t>000余页，涉及新加坡、俄罗斯、印度尼西亚等多个国家和地区。</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kern w:val="2"/>
          <w:sz w:val="32"/>
          <w:szCs w:val="32"/>
          <w:lang w:val="en-US" w:eastAsia="zh-CN" w:bidi="zh-CN"/>
        </w:rPr>
        <w:t>（三）多元化法律合作水平进一步提升。</w:t>
      </w:r>
      <w:r>
        <w:rPr>
          <w:rFonts w:hint="default" w:ascii="仿宋_GB2312" w:hAnsi="仿宋_GB2312" w:eastAsia="仿宋_GB2312" w:cs="仿宋_GB2312"/>
          <w:sz w:val="32"/>
          <w:szCs w:val="32"/>
          <w:lang w:eastAsia="zh-CN"/>
        </w:rPr>
        <w:t>“一带一路”法律服务创新中心服务范围已覆盖中国香港、中国澳门及意大利、法国、德国、西班牙、俄罗斯等</w:t>
      </w:r>
      <w:r>
        <w:rPr>
          <w:rFonts w:hint="default" w:ascii="仿宋_GB2312" w:hAnsi="仿宋_GB2312" w:eastAsia="仿宋_GB2312" w:cs="仿宋_GB2312"/>
          <w:sz w:val="32"/>
          <w:szCs w:val="32"/>
          <w:lang w:val="en-US" w:eastAsia="zh-CN"/>
        </w:rPr>
        <w:t>8</w:t>
      </w:r>
      <w:r>
        <w:rPr>
          <w:rFonts w:hint="default" w:ascii="仿宋_GB2312" w:hAnsi="仿宋_GB2312" w:eastAsia="仿宋_GB2312" w:cs="仿宋_GB2312"/>
          <w:sz w:val="32"/>
          <w:szCs w:val="32"/>
          <w:lang w:eastAsia="zh-CN"/>
        </w:rPr>
        <w:t>0多个国家和地区的180多个城市。国际商事调解中心与西安雁塔区人民法院、西安汉唐公证处、北京市第一中级人民法院、广州互联网法院等国内60余家法律服务机构签署协议，密切机制化合作。</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三、下一步工作思路</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kern w:val="2"/>
          <w:sz w:val="32"/>
          <w:szCs w:val="32"/>
          <w:lang w:val="en-US" w:eastAsia="zh-CN" w:bidi="zh-CN"/>
        </w:rPr>
        <w:t>（一）推动法律服务双向开放。</w:t>
      </w:r>
      <w:r>
        <w:rPr>
          <w:rFonts w:hint="default" w:ascii="仿宋_GB2312" w:hAnsi="仿宋_GB2312" w:eastAsia="仿宋_GB2312" w:cs="仿宋_GB2312"/>
          <w:sz w:val="32"/>
          <w:szCs w:val="32"/>
          <w:lang w:eastAsia="zh-CN"/>
        </w:rPr>
        <w:t>争取境内外知名律所、仲裁机构等在区内设立代表机构，集聚一批掌握国际惯例、精通法律业务、熟悉经贸领域的高层次法律人才，提高法律创新联合体的创新能级。</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default" w:ascii="Times New Roman" w:hAnsi="Times New Roman" w:eastAsia="仿宋_GB2312" w:cs="Times New Roman"/>
          <w:sz w:val="32"/>
          <w:szCs w:val="32"/>
        </w:rPr>
      </w:pPr>
      <w:r>
        <w:rPr>
          <w:rStyle w:val="21"/>
          <w:rFonts w:hint="default" w:ascii="Times New Roman" w:hAnsi="Times New Roman" w:eastAsia="楷体_GB2312" w:cs="Times New Roman"/>
          <w:b w:val="0"/>
          <w:bCs w:val="0"/>
          <w:kern w:val="2"/>
          <w:sz w:val="32"/>
          <w:szCs w:val="32"/>
          <w:lang w:val="en-US" w:eastAsia="zh-CN" w:bidi="zh-CN"/>
        </w:rPr>
        <w:t>（二）强化法律服务国际合作。</w:t>
      </w:r>
      <w:r>
        <w:rPr>
          <w:rFonts w:hint="default" w:ascii="仿宋_GB2312" w:hAnsi="仿宋_GB2312" w:eastAsia="仿宋_GB2312" w:cs="仿宋_GB2312"/>
          <w:sz w:val="32"/>
          <w:szCs w:val="32"/>
          <w:lang w:eastAsia="zh-CN"/>
        </w:rPr>
        <w:t>适时举办“一带一路”侨界法律服务论坛，提升涉外法律服务合作水平。</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textAlignment w:val="auto"/>
        <w:rPr>
          <w:rFonts w:hint="default"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kern w:val="2"/>
          <w:sz w:val="32"/>
          <w:szCs w:val="32"/>
          <w:lang w:val="en-US" w:eastAsia="zh-CN" w:bidi="zh-CN"/>
        </w:rPr>
        <w:t>（三）突出法律服务制度探索。</w:t>
      </w:r>
      <w:r>
        <w:rPr>
          <w:rFonts w:hint="default" w:ascii="仿宋_GB2312" w:hAnsi="仿宋_GB2312" w:eastAsia="仿宋_GB2312" w:cs="仿宋_GB2312"/>
          <w:sz w:val="32"/>
          <w:szCs w:val="32"/>
          <w:lang w:eastAsia="zh-CN"/>
        </w:rPr>
        <w:t>支持联营所探索承办内地法律适用的行政诉讼法律事务，注重国际贸易不同领域不同法域的衔接，为法治化进程做出更多改革探索。</w:t>
      </w:r>
    </w:p>
    <w:p>
      <w:pPr>
        <w:pStyle w:val="23"/>
        <w:keepNext w:val="0"/>
        <w:keepLines w:val="0"/>
        <w:pageBreakBefore w:val="0"/>
        <w:widowControl w:val="0"/>
        <w:kinsoku/>
        <w:wordWrap/>
        <w:overflowPunct/>
        <w:topLinePunct w:val="0"/>
        <w:autoSpaceDE/>
        <w:autoSpaceDN/>
        <w:bidi w:val="0"/>
        <w:adjustRightInd w:val="0"/>
        <w:snapToGrid/>
        <w:spacing w:line="560" w:lineRule="exact"/>
        <w:ind w:firstLine="640"/>
        <w:jc w:val="right"/>
        <w:textAlignment w:val="auto"/>
        <w:rPr>
          <w:rFonts w:hint="default" w:ascii="Times New Roman" w:hAnsi="Times New Roman" w:eastAsia="仿宋_GB2312" w:cs="Times New Roman"/>
          <w:sz w:val="32"/>
          <w:szCs w:val="32"/>
        </w:rPr>
      </w:pPr>
      <w:r>
        <w:rPr>
          <w:rFonts w:hint="default" w:ascii="仿宋_GB2312" w:hAnsi="仿宋_GB2312" w:eastAsia="仿宋_GB2312" w:cs="仿宋_GB2312"/>
          <w:sz w:val="32"/>
          <w:szCs w:val="32"/>
          <w:lang w:eastAsia="zh-CN"/>
        </w:rPr>
        <w:t>（陕西自贸试验区能源金贸功能区提供）</w:t>
      </w: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案例8</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default" w:ascii="Times New Roman" w:hAnsi="Times New Roman" w:eastAsia="仿宋_GB2312"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default" w:ascii="Times New Roman" w:hAnsi="Times New Roman" w:eastAsia="方正小标宋简体" w:cs="Times New Roman"/>
          <w:b w:val="0"/>
          <w:bCs w:val="0"/>
          <w:color w:val="auto"/>
          <w:spacing w:val="0"/>
          <w:sz w:val="44"/>
          <w:szCs w:val="44"/>
          <w:lang w:val="en-US" w:eastAsia="zh-CN"/>
        </w:rPr>
        <w:t>文化出口贸易服务平台</w:t>
      </w:r>
    </w:p>
    <w:p>
      <w:pPr>
        <w:keepNext w:val="0"/>
        <w:keepLines w:val="0"/>
        <w:pageBreakBefore w:val="0"/>
        <w:widowControl w:val="0"/>
        <w:kinsoku/>
        <w:wordWrap/>
        <w:overflowPunct/>
        <w:topLinePunct w:val="0"/>
        <w:bidi w:val="0"/>
        <w:spacing w:line="560" w:lineRule="exact"/>
        <w:jc w:val="center"/>
        <w:rPr>
          <w:rFonts w:hint="default" w:ascii="Times New Roman" w:hAnsi="Times New Roman" w:eastAsia="华文楷体" w:cs="Times New Roman"/>
          <w:sz w:val="32"/>
          <w:szCs w:val="32"/>
          <w:lang w:eastAsia="zh-CN"/>
        </w:rPr>
      </w:pPr>
    </w:p>
    <w:p>
      <w:pPr>
        <w:keepNext w:val="0"/>
        <w:keepLines w:val="0"/>
        <w:pageBreakBefore w:val="0"/>
        <w:widowControl w:val="0"/>
        <w:kinsoku/>
        <w:wordWrap/>
        <w:overflowPunct/>
        <w:topLinePunct w:val="0"/>
        <w:bidi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为贯彻落实党中央、国务院赋予的“探索内陆与‘一带一路’沿线国家经济合作和人文交流新模式”的重要使命，陕西自贸试验区西安</w:t>
      </w:r>
      <w:r>
        <w:rPr>
          <w:rFonts w:hint="eastAsia" w:ascii="仿宋_GB2312" w:hAnsi="仿宋_GB2312" w:eastAsia="仿宋_GB2312" w:cs="仿宋_GB2312"/>
          <w:sz w:val="32"/>
          <w:szCs w:val="32"/>
        </w:rPr>
        <w:t>高新区</w:t>
      </w:r>
      <w:r>
        <w:rPr>
          <w:rFonts w:hint="eastAsia" w:ascii="仿宋_GB2312" w:hAnsi="仿宋_GB2312" w:eastAsia="仿宋_GB2312" w:cs="仿宋_GB2312"/>
          <w:sz w:val="32"/>
          <w:szCs w:val="32"/>
          <w:lang w:eastAsia="zh-CN"/>
        </w:rPr>
        <w:t>功能区</w:t>
      </w:r>
      <w:r>
        <w:rPr>
          <w:rFonts w:hint="eastAsia" w:ascii="仿宋_GB2312" w:hAnsi="仿宋_GB2312" w:eastAsia="仿宋_GB2312" w:cs="仿宋_GB2312"/>
          <w:sz w:val="32"/>
          <w:szCs w:val="32"/>
        </w:rPr>
        <w:t>充分发挥科技创新优势，依托陕西省、西安市深厚的历史文化资源，</w:t>
      </w:r>
      <w:r>
        <w:rPr>
          <w:rFonts w:hint="eastAsia" w:ascii="仿宋_GB2312" w:hAnsi="仿宋_GB2312" w:eastAsia="仿宋_GB2312" w:cs="仿宋_GB2312"/>
          <w:sz w:val="32"/>
          <w:szCs w:val="32"/>
          <w:lang w:eastAsia="zh-CN"/>
        </w:rPr>
        <w:t>打造文化出口贸易服务平台，</w:t>
      </w:r>
      <w:r>
        <w:rPr>
          <w:rFonts w:hint="eastAsia" w:ascii="仿宋_GB2312" w:hAnsi="仿宋_GB2312" w:eastAsia="仿宋_GB2312" w:cs="仿宋_GB2312"/>
          <w:sz w:val="32"/>
          <w:szCs w:val="32"/>
        </w:rPr>
        <w:t>为文化出口企业提供全方位服务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引导文化出口企业向规模化、标准化、规范化方向发展。</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一、平台介绍</w:t>
      </w:r>
    </w:p>
    <w:p>
      <w:pPr>
        <w:keepNext w:val="0"/>
        <w:keepLines w:val="0"/>
        <w:pageBreakBefore w:val="0"/>
        <w:widowControl w:val="0"/>
        <w:kinsoku/>
        <w:wordWrap/>
        <w:overflowPunct/>
        <w:topLinePunct w:val="0"/>
        <w:bidi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平台以“统一服务、信息共享、机制创新”为目标，确立线上化、精品化、数字化、IP化“四化”战略，</w:t>
      </w:r>
      <w:r>
        <w:rPr>
          <w:rFonts w:hint="eastAsia" w:ascii="仿宋_GB2312" w:hAnsi="仿宋_GB2312" w:eastAsia="仿宋_GB2312" w:cs="仿宋_GB2312"/>
          <w:sz w:val="32"/>
          <w:szCs w:val="32"/>
          <w:lang w:eastAsia="zh-CN"/>
        </w:rPr>
        <w:t>形成了</w:t>
      </w:r>
      <w:r>
        <w:rPr>
          <w:rFonts w:hint="eastAsia" w:ascii="仿宋_GB2312" w:hAnsi="仿宋_GB2312" w:eastAsia="仿宋_GB2312" w:cs="仿宋_GB2312"/>
          <w:sz w:val="32"/>
          <w:szCs w:val="32"/>
        </w:rPr>
        <w:t>“1个平台、2个基地、N个中心”的1+2+N</w:t>
      </w:r>
      <w:r>
        <w:rPr>
          <w:rFonts w:hint="eastAsia" w:ascii="仿宋_GB2312" w:hAnsi="仿宋_GB2312" w:eastAsia="仿宋_GB2312" w:cs="仿宋_GB2312"/>
          <w:sz w:val="32"/>
          <w:szCs w:val="32"/>
          <w:lang w:eastAsia="zh-CN"/>
        </w:rPr>
        <w:t>服务体系。</w:t>
      </w:r>
    </w:p>
    <w:p>
      <w:pPr>
        <w:keepNext w:val="0"/>
        <w:keepLines w:val="0"/>
        <w:pageBreakBefore w:val="0"/>
        <w:widowControl w:val="0"/>
        <w:kinsoku/>
        <w:wordWrap/>
        <w:overflowPunct/>
        <w:topLinePunct w:val="0"/>
        <w:bidi w:val="0"/>
        <w:spacing w:line="560" w:lineRule="exact"/>
        <w:ind w:firstLine="643" w:firstLineChars="200"/>
        <w:rPr>
          <w:rFonts w:hint="default" w:ascii="仿宋_GB2312" w:hAnsi="仿宋_GB2312" w:eastAsia="仿宋_GB2312" w:cs="仿宋_GB2312"/>
          <w:sz w:val="32"/>
          <w:szCs w:val="32"/>
        </w:rPr>
      </w:pPr>
      <w:r>
        <w:rPr>
          <w:rFonts w:hint="default" w:ascii="仿宋_GB2312" w:hAnsi="仿宋_GB2312" w:eastAsia="仿宋_GB2312" w:cs="仿宋_GB2312"/>
          <w:b/>
          <w:bCs/>
          <w:sz w:val="32"/>
          <w:szCs w:val="32"/>
        </w:rPr>
        <w:t>1个平台：</w:t>
      </w:r>
      <w:r>
        <w:rPr>
          <w:rFonts w:hint="default" w:ascii="仿宋_GB2312" w:hAnsi="仿宋_GB2312" w:eastAsia="仿宋_GB2312" w:cs="仿宋_GB2312"/>
          <w:sz w:val="32"/>
          <w:szCs w:val="32"/>
        </w:rPr>
        <w:t>文化出口智能综合服务平台。为企业提供</w:t>
      </w:r>
      <w:r>
        <w:rPr>
          <w:rFonts w:hint="default" w:ascii="仿宋_GB2312" w:hAnsi="仿宋_GB2312" w:eastAsia="仿宋_GB2312" w:cs="仿宋_GB2312"/>
          <w:sz w:val="32"/>
          <w:szCs w:val="32"/>
          <w:lang w:eastAsia="zh-CN"/>
        </w:rPr>
        <w:t>法律、财务、人才等</w:t>
      </w:r>
      <w:r>
        <w:rPr>
          <w:rFonts w:hint="default" w:ascii="仿宋_GB2312" w:hAnsi="仿宋_GB2312" w:eastAsia="仿宋_GB2312" w:cs="仿宋_GB2312"/>
          <w:sz w:val="32"/>
          <w:szCs w:val="32"/>
        </w:rPr>
        <w:t>专项出海服务，平台还可以针对不同企业的具体需求提供定制化专属服务。</w:t>
      </w:r>
    </w:p>
    <w:p>
      <w:pPr>
        <w:keepNext w:val="0"/>
        <w:keepLines w:val="0"/>
        <w:pageBreakBefore w:val="0"/>
        <w:widowControl w:val="0"/>
        <w:kinsoku/>
        <w:wordWrap/>
        <w:overflowPunct/>
        <w:topLinePunct w:val="0"/>
        <w:bidi w:val="0"/>
        <w:spacing w:line="560" w:lineRule="exact"/>
        <w:ind w:firstLine="643" w:firstLineChars="200"/>
        <w:rPr>
          <w:rFonts w:hint="default" w:ascii="仿宋_GB2312" w:hAnsi="仿宋_GB2312" w:eastAsia="仿宋_GB2312" w:cs="仿宋_GB2312"/>
          <w:sz w:val="32"/>
          <w:szCs w:val="32"/>
        </w:rPr>
      </w:pPr>
      <w:r>
        <w:rPr>
          <w:rFonts w:hint="default" w:ascii="仿宋_GB2312" w:hAnsi="仿宋_GB2312" w:eastAsia="仿宋_GB2312" w:cs="仿宋_GB2312"/>
          <w:b/>
          <w:bCs/>
          <w:sz w:val="32"/>
          <w:szCs w:val="32"/>
        </w:rPr>
        <w:t>2个基地：</w:t>
      </w:r>
      <w:r>
        <w:rPr>
          <w:rFonts w:hint="default" w:ascii="仿宋_GB2312" w:hAnsi="仿宋_GB2312" w:eastAsia="仿宋_GB2312" w:cs="仿宋_GB2312"/>
          <w:sz w:val="32"/>
          <w:szCs w:val="32"/>
        </w:rPr>
        <w:t>全球产业服务孵化基地+国际人才培养基地。发挥基地文化产业聚集优势及合作企业互联网出海专业优势，着力打造原创动漫、非遗品牌、网络文学、文旅项目等系列文化产业全球孵化基地；建设涵盖国际人才培训、国际人才招聘、人才生态链创业、海外实习机会等人才服务举措的国际人才培养基地。</w:t>
      </w:r>
    </w:p>
    <w:p>
      <w:pPr>
        <w:keepNext w:val="0"/>
        <w:keepLines w:val="0"/>
        <w:pageBreakBefore w:val="0"/>
        <w:widowControl w:val="0"/>
        <w:kinsoku/>
        <w:wordWrap/>
        <w:overflowPunct/>
        <w:topLinePunct w:val="0"/>
        <w:bidi w:val="0"/>
        <w:spacing w:line="560" w:lineRule="exact"/>
        <w:ind w:firstLine="643" w:firstLineChars="200"/>
        <w:rPr>
          <w:rFonts w:hint="default" w:ascii="仿宋_GB2312" w:hAnsi="仿宋_GB2312" w:eastAsia="仿宋_GB2312" w:cs="仿宋_GB2312"/>
          <w:sz w:val="32"/>
          <w:szCs w:val="32"/>
        </w:rPr>
      </w:pPr>
      <w:r>
        <w:rPr>
          <w:rFonts w:hint="default" w:ascii="仿宋_GB2312" w:hAnsi="仿宋_GB2312" w:eastAsia="仿宋_GB2312" w:cs="仿宋_GB2312"/>
          <w:b/>
          <w:bCs/>
          <w:sz w:val="32"/>
          <w:szCs w:val="32"/>
        </w:rPr>
        <w:t>N个中心：</w:t>
      </w:r>
      <w:r>
        <w:rPr>
          <w:rFonts w:hint="default" w:ascii="仿宋_GB2312" w:hAnsi="仿宋_GB2312" w:eastAsia="仿宋_GB2312" w:cs="仿宋_GB2312"/>
          <w:sz w:val="32"/>
          <w:szCs w:val="32"/>
        </w:rPr>
        <w:t>即财务服务中心、法务服务中心、人才服务中心、营销服务中心、咨询服务中心、专利服务中心、成果展示中心、本地化服务中心。针对企业在文化出口中所遇到的问题，分类设置专业化服务中心，覆盖文化出口全过程，全方位帮助企业解决难题。</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二、实践效果</w:t>
      </w:r>
    </w:p>
    <w:p>
      <w:pPr>
        <w:keepNext w:val="0"/>
        <w:keepLines w:val="0"/>
        <w:pageBreakBefore w:val="0"/>
        <w:widowControl w:val="0"/>
        <w:kinsoku/>
        <w:wordWrap/>
        <w:overflowPunct/>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文化出口</w:t>
      </w:r>
      <w:r>
        <w:rPr>
          <w:rFonts w:hint="eastAsia" w:ascii="仿宋_GB2312" w:hAnsi="仿宋_GB2312" w:eastAsia="仿宋_GB2312" w:cs="仿宋_GB2312"/>
          <w:sz w:val="32"/>
          <w:szCs w:val="32"/>
          <w:lang w:eastAsia="zh-CN"/>
        </w:rPr>
        <w:t>贸易</w:t>
      </w:r>
      <w:r>
        <w:rPr>
          <w:rFonts w:hint="eastAsia" w:ascii="仿宋_GB2312" w:hAnsi="仿宋_GB2312" w:eastAsia="仿宋_GB2312" w:cs="仿宋_GB2312"/>
          <w:sz w:val="32"/>
          <w:szCs w:val="32"/>
        </w:rPr>
        <w:t>服务平台于2020年12月17日正式投入运营</w:t>
      </w:r>
      <w:r>
        <w:rPr>
          <w:rFonts w:hint="eastAsia" w:ascii="仿宋_GB2312" w:hAnsi="仿宋_GB2312" w:eastAsia="仿宋_GB2312" w:cs="仿宋_GB2312"/>
          <w:sz w:val="32"/>
          <w:szCs w:val="32"/>
          <w:lang w:eastAsia="zh-CN"/>
        </w:rPr>
        <w:t>，目前已</w:t>
      </w:r>
      <w:r>
        <w:rPr>
          <w:rFonts w:hint="eastAsia" w:ascii="仿宋_GB2312" w:hAnsi="仿宋_GB2312" w:eastAsia="仿宋_GB2312" w:cs="仿宋_GB2312"/>
          <w:sz w:val="32"/>
          <w:szCs w:val="32"/>
          <w:lang w:val="en-US" w:eastAsia="zh-CN"/>
        </w:rPr>
        <w:t>成功</w:t>
      </w:r>
      <w:r>
        <w:rPr>
          <w:rFonts w:hint="eastAsia" w:ascii="仿宋_GB2312" w:hAnsi="仿宋_GB2312" w:eastAsia="仿宋_GB2312" w:cs="仿宋_GB2312"/>
          <w:sz w:val="32"/>
          <w:szCs w:val="32"/>
        </w:rPr>
        <w:t>孵化游戏、动漫、电子商务等领域文化企业</w:t>
      </w:r>
      <w:r>
        <w:rPr>
          <w:rFonts w:hint="eastAsia" w:ascii="仿宋_GB2312" w:hAnsi="仿宋_GB2312" w:eastAsia="仿宋_GB2312" w:cs="仿宋_GB2312"/>
          <w:sz w:val="32"/>
          <w:szCs w:val="32"/>
          <w:lang w:val="en-US" w:eastAsia="zh-CN"/>
        </w:rPr>
        <w:t>10余</w:t>
      </w:r>
      <w:r>
        <w:rPr>
          <w:rFonts w:hint="eastAsia" w:ascii="仿宋_GB2312" w:hAnsi="仿宋_GB2312" w:eastAsia="仿宋_GB2312" w:cs="仿宋_GB2312"/>
          <w:sz w:val="32"/>
          <w:szCs w:val="32"/>
        </w:rPr>
        <w:t>家。2021年，平台服务企业营业收入过亿元，企业文化贸易业务能力有效提升。</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三、下一步工作思路</w:t>
      </w:r>
    </w:p>
    <w:p>
      <w:pPr>
        <w:keepNext w:val="0"/>
        <w:keepLines w:val="0"/>
        <w:pageBreakBefore w:val="0"/>
        <w:widowControl w:val="0"/>
        <w:kinsoku/>
        <w:wordWrap/>
        <w:overflowPunct/>
        <w:topLinePunct w:val="0"/>
        <w:bidi w:val="0"/>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下一步，</w:t>
      </w:r>
      <w:r>
        <w:rPr>
          <w:rFonts w:hint="default" w:ascii="Times New Roman" w:hAnsi="Times New Roman" w:eastAsia="仿宋_GB2312" w:cs="Times New Roman"/>
          <w:sz w:val="32"/>
          <w:szCs w:val="32"/>
          <w:lang w:eastAsia="zh-CN"/>
        </w:rPr>
        <w:t>陕西自贸试验区</w:t>
      </w:r>
      <w:r>
        <w:rPr>
          <w:rFonts w:hint="default" w:ascii="Times New Roman" w:hAnsi="Times New Roman" w:eastAsia="仿宋_GB2312" w:cs="Times New Roman"/>
          <w:sz w:val="32"/>
          <w:szCs w:val="32"/>
        </w:rPr>
        <w:t>西安高新区</w:t>
      </w:r>
      <w:r>
        <w:rPr>
          <w:rFonts w:hint="default" w:ascii="Times New Roman" w:hAnsi="Times New Roman" w:eastAsia="仿宋_GB2312" w:cs="Times New Roman"/>
          <w:sz w:val="32"/>
          <w:szCs w:val="32"/>
          <w:lang w:eastAsia="zh-CN"/>
        </w:rPr>
        <w:t>功能区</w:t>
      </w:r>
      <w:r>
        <w:rPr>
          <w:rFonts w:hint="default" w:ascii="Times New Roman" w:hAnsi="Times New Roman" w:eastAsia="仿宋_GB2312" w:cs="Times New Roman"/>
          <w:sz w:val="32"/>
          <w:szCs w:val="32"/>
        </w:rPr>
        <w:t>将聚焦企业需求，加快完善平台运营体制机制，不断优化平台服务功能，优化服务流程，为文化企业出口提供更加全面、有效的服务，打造统一</w:t>
      </w:r>
      <w:r>
        <w:rPr>
          <w:rFonts w:hint="default" w:ascii="Times New Roman" w:hAnsi="Times New Roman" w:eastAsia="仿宋_GB2312" w:cs="Times New Roman"/>
          <w:sz w:val="32"/>
          <w:szCs w:val="32"/>
          <w:lang w:eastAsia="zh-CN"/>
        </w:rPr>
        <w:t>规范</w:t>
      </w:r>
      <w:r>
        <w:rPr>
          <w:rFonts w:hint="default" w:ascii="Times New Roman" w:hAnsi="Times New Roman" w:eastAsia="仿宋_GB2312" w:cs="Times New Roman"/>
          <w:sz w:val="32"/>
          <w:szCs w:val="32"/>
        </w:rPr>
        <w:t>服务、信息开放共享、服务机制创新的文化出口</w:t>
      </w:r>
      <w:r>
        <w:rPr>
          <w:rFonts w:hint="default" w:ascii="Times New Roman" w:hAnsi="Times New Roman" w:eastAsia="仿宋_GB2312" w:cs="Times New Roman"/>
          <w:sz w:val="32"/>
          <w:szCs w:val="32"/>
          <w:lang w:eastAsia="zh-CN"/>
        </w:rPr>
        <w:t>贸易</w:t>
      </w:r>
      <w:r>
        <w:rPr>
          <w:rFonts w:hint="default" w:ascii="Times New Roman" w:hAnsi="Times New Roman" w:eastAsia="仿宋_GB2312" w:cs="Times New Roman"/>
          <w:sz w:val="32"/>
          <w:szCs w:val="32"/>
        </w:rPr>
        <w:t>服务平台。</w:t>
      </w:r>
    </w:p>
    <w:p>
      <w:pPr>
        <w:keepNext w:val="0"/>
        <w:keepLines w:val="0"/>
        <w:pageBreakBefore w:val="0"/>
        <w:widowControl w:val="0"/>
        <w:kinsoku/>
        <w:wordWrap/>
        <w:overflowPunct/>
        <w:topLinePunct w:val="0"/>
        <w:bidi w:val="0"/>
        <w:spacing w:line="560" w:lineRule="exact"/>
        <w:ind w:firstLine="640" w:firstLineChars="200"/>
        <w:jc w:val="righ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（陕西自贸试验区西安高新区功能区提供）</w:t>
      </w:r>
    </w:p>
    <w:p>
      <w:pPr>
        <w:pStyle w:val="5"/>
        <w:keepNext w:val="0"/>
        <w:keepLines w:val="0"/>
        <w:pageBreakBefore w:val="0"/>
        <w:widowControl w:val="0"/>
        <w:kinsoku/>
        <w:wordWrap/>
        <w:overflowPunct/>
        <w:topLinePunct w:val="0"/>
        <w:bidi w:val="0"/>
        <w:spacing w:after="0" w:afterLines="0" w:line="560" w:lineRule="exact"/>
        <w:rPr>
          <w:rFonts w:hint="default" w:ascii="Times New Roman" w:hAnsi="Times New Roman" w:eastAsia="仿宋_GB2312" w:cs="Times New Roman"/>
          <w:sz w:val="32"/>
          <w:szCs w:val="32"/>
        </w:rPr>
      </w:pPr>
    </w:p>
    <w:p>
      <w:pPr>
        <w:pStyle w:val="4"/>
        <w:keepNext w:val="0"/>
        <w:keepLines w:val="0"/>
        <w:pageBreakBefore w:val="0"/>
        <w:widowControl w:val="0"/>
        <w:kinsoku/>
        <w:wordWrap/>
        <w:overflowPunct/>
        <w:topLinePunct w:val="0"/>
        <w:bidi w:val="0"/>
        <w:spacing w:line="560" w:lineRule="exact"/>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bidi w:val="0"/>
        <w:spacing w:line="560" w:lineRule="exact"/>
        <w:rPr>
          <w:rFonts w:hint="default" w:ascii="Times New Roman" w:hAnsi="Times New Roman" w:eastAsia="仿宋_GB2312" w:cs="Times New Roman"/>
          <w:sz w:val="32"/>
          <w:szCs w:val="32"/>
        </w:rPr>
      </w:pPr>
    </w:p>
    <w:p>
      <w:pPr>
        <w:pStyle w:val="5"/>
        <w:keepNext w:val="0"/>
        <w:keepLines w:val="0"/>
        <w:pageBreakBefore w:val="0"/>
        <w:widowControl w:val="0"/>
        <w:kinsoku/>
        <w:wordWrap/>
        <w:overflowPunct/>
        <w:topLinePunct w:val="0"/>
        <w:bidi w:val="0"/>
        <w:spacing w:after="0" w:afterLines="0" w:line="560" w:lineRule="exact"/>
        <w:rPr>
          <w:rFonts w:hint="default" w:ascii="Times New Roman" w:hAnsi="Times New Roman" w:eastAsia="仿宋_GB2312" w:cs="Times New Roman"/>
          <w:sz w:val="32"/>
          <w:szCs w:val="32"/>
        </w:rPr>
      </w:pPr>
    </w:p>
    <w:p>
      <w:pPr>
        <w:pStyle w:val="4"/>
        <w:keepNext w:val="0"/>
        <w:keepLines w:val="0"/>
        <w:pageBreakBefore w:val="0"/>
        <w:widowControl w:val="0"/>
        <w:kinsoku/>
        <w:wordWrap/>
        <w:overflowPunct/>
        <w:topLinePunct w:val="0"/>
        <w:bidi w:val="0"/>
        <w:spacing w:line="560" w:lineRule="exact"/>
        <w:rPr>
          <w:rFonts w:hint="default" w:ascii="Times New Roman" w:hAnsi="Times New Roman" w:cs="Times New Roma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案例9</w:t>
      </w:r>
    </w:p>
    <w:p>
      <w:pPr>
        <w:pStyle w:val="7"/>
        <w:keepNext w:val="0"/>
        <w:keepLines w:val="0"/>
        <w:pageBreakBefore w:val="0"/>
        <w:widowControl w:val="0"/>
        <w:kinsoku/>
        <w:wordWrap/>
        <w:overflowPunct/>
        <w:topLinePunct w:val="0"/>
        <w:autoSpaceDE/>
        <w:autoSpaceDN/>
        <w:bidi w:val="0"/>
        <w:adjustRightInd/>
        <w:snapToGrid/>
        <w:spacing w:after="0" w:afterLines="0" w:line="560" w:lineRule="exact"/>
        <w:ind w:left="0" w:leftChars="0" w:firstLine="0" w:firstLineChars="0"/>
        <w:textAlignment w:val="auto"/>
        <w:rPr>
          <w:rFonts w:hint="default" w:ascii="Times New Roman" w:hAnsi="Times New Roman" w:eastAsia="仿宋_GB2312"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default" w:ascii="Times New Roman" w:hAnsi="Times New Roman" w:eastAsia="方正小标宋简体" w:cs="Times New Roman"/>
          <w:b w:val="0"/>
          <w:bCs w:val="0"/>
          <w:color w:val="auto"/>
          <w:spacing w:val="0"/>
          <w:sz w:val="44"/>
          <w:szCs w:val="44"/>
          <w:lang w:val="en-US" w:eastAsia="zh-CN"/>
        </w:rPr>
        <w:t>国际铁路联运提单融资新模式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当前，铁路运输所使用的国际联运单和铁路货票均不具有物权属性，进口商无法据此向银行申请贷款，小微企业融资难问题十分突出。为加快构筑内陆地区效率高、成本低、服务优的国际贸易通道，</w:t>
      </w:r>
      <w:r>
        <w:rPr>
          <w:rFonts w:hint="eastAsia" w:ascii="仿宋_GB2312" w:hAnsi="仿宋_GB2312" w:eastAsia="仿宋_GB2312" w:cs="仿宋_GB2312"/>
          <w:sz w:val="32"/>
          <w:szCs w:val="32"/>
          <w:lang w:eastAsia="zh-CN"/>
        </w:rPr>
        <w:t>助力更多的企业搭载“长安号”进入国际市场，人行西安分行联合西安国际港务区功能区积极探索，创设国际联运提单和相应的融资产品，赋予了铁路提单物权属性，进口商仅凭一张铁路提单即可获取信用贷款，有效解决了进口贸易中小微企业融资难问题。</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一、主要做法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（一）创设国际联运提单。</w:t>
      </w:r>
      <w:r>
        <w:rPr>
          <w:rFonts w:hint="default" w:ascii="仿宋_GB2312" w:hAnsi="仿宋_GB2312" w:eastAsia="仿宋_GB2312" w:cs="仿宋_GB2312"/>
          <w:sz w:val="32"/>
          <w:szCs w:val="32"/>
          <w:lang w:val="en-US" w:eastAsia="zh-CN"/>
        </w:rPr>
        <w:t>借鉴海运提单及相关法律法规，创设了自贸港国际联运提单（以下简称提单），出台《铁路融资提单管理办法》，明确提单在签发、流转、控货、提货等环节的效力，确保提单作为运输过程唯一的控货凭证；自贸港运营公司与客户和商业银行签订三方铁路提单合作协议，明确相关权责，确保国际联运提单合法合规，为提单物权属性提供法律保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（二）优化运输监管流程。</w:t>
      </w:r>
      <w:r>
        <w:rPr>
          <w:rFonts w:hint="default" w:ascii="仿宋_GB2312" w:hAnsi="仿宋_GB2312" w:eastAsia="仿宋_GB2312" w:cs="仿宋_GB2312"/>
          <w:sz w:val="32"/>
          <w:szCs w:val="32"/>
          <w:lang w:val="en-US" w:eastAsia="zh-CN"/>
        </w:rPr>
        <w:t>新模式下，进口商向出口方支付一定比例货款，自贸港运营公司在境外指定地点对进口集装箱货物进行核验，确保贸易真实性。待进口商支付货物剩余款项且出口商收到货款后，自贸港运营公司签发提单进行承运，货物到达国内指定站点后，进口商需凭铁路运单和提单提货。运输过程中，自贸港运营公司对承运的货物进行全程运输、监控，确保对货物的完全控制，实现“交货—运输—监管—提货”全闭环监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（三）创新提单融资产品。</w:t>
      </w:r>
      <w:r>
        <w:rPr>
          <w:rFonts w:hint="default" w:ascii="仿宋_GB2312" w:hAnsi="仿宋_GB2312" w:eastAsia="仿宋_GB2312" w:cs="仿宋_GB2312"/>
          <w:sz w:val="32"/>
          <w:szCs w:val="32"/>
          <w:lang w:val="en-US" w:eastAsia="zh-CN"/>
        </w:rPr>
        <w:t>人行西安分行指导西安国际港务区功能区与中国银行合作开发基于铁路提单的金融产品，为通过中欧班列开展进口贸易的小微企业提供纯信用贷款。进口商将铁路提单“抵押”至银行，银行结合企业信誉和贸易真实性针对此笔货物发放一定比例的贷款。待货物运抵目的站，进口商向银行还款赎单，再到目的站凭单提货，形成交易闭环。</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二、实践效果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2021年8月17日，自贸港运营公司首次签发42柜提单，中国银行陕西省分行为进口企业办理了首笔110万元中欧班列“长安号”国际铁路联运提单项下融资业务。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（一）探索实现了铁路联运提单的物权属性。</w:t>
      </w:r>
      <w:r>
        <w:rPr>
          <w:rFonts w:hint="default" w:ascii="仿宋_GB2312" w:hAnsi="仿宋_GB2312" w:eastAsia="仿宋_GB2312" w:cs="仿宋_GB2312"/>
          <w:sz w:val="32"/>
          <w:szCs w:val="32"/>
          <w:lang w:val="en-US" w:eastAsia="zh-CN"/>
        </w:rPr>
        <w:t>新模式将提单与铁路运单叠加，作为运输全过程唯一的提货凭证，并通过三方协议赋予法律效力，这在一定程度上就相当于赋予了提单“物权属性”，为银行授信风险管控及提单融资奠定了坚实的基础。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（二）拓宽了中欧班列产业链企业融资渠道。</w:t>
      </w:r>
      <w:r>
        <w:rPr>
          <w:rFonts w:hint="default" w:ascii="仿宋_GB2312" w:hAnsi="仿宋_GB2312" w:eastAsia="仿宋_GB2312" w:cs="仿宋_GB2312"/>
          <w:sz w:val="32"/>
          <w:szCs w:val="32"/>
          <w:lang w:val="en-US" w:eastAsia="zh-CN"/>
        </w:rPr>
        <w:t>铁路提单融资业务模式为进口商提供了新的融资方式，使得以前难以获得资金支持的小微企业可以获得银行低利率融资，大幅降低了进口小微企业融资的难度，显著降低企业的运营成本。</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default"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（三）有利于企业进一步扩大进口贸易规模。</w:t>
      </w:r>
      <w:r>
        <w:rPr>
          <w:rFonts w:hint="default" w:ascii="仿宋_GB2312" w:hAnsi="仿宋_GB2312" w:eastAsia="仿宋_GB2312" w:cs="仿宋_GB2312"/>
          <w:sz w:val="32"/>
          <w:szCs w:val="32"/>
          <w:lang w:val="en-US" w:eastAsia="zh-CN"/>
        </w:rPr>
        <w:t>传统模式中进口商多数需要提前缴纳部分货款甚至全额款项，出口商方才备货。新模式下，进口商只需缴纳首付款或者保证金，其余资金由银行以贷款形式提供，降低了采购成本，便于企业扩大进口采购规模，进一步提升进口商的采购话语权和行业竞争力。</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三、下一步工作思路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下一步，人行西安分行将持续开展业务宣传，推进国际铁路联运提单融资业务常态化，助力海内外企业稳订单拓市场，加快融入国际国内双循环。</w:t>
      </w:r>
    </w:p>
    <w:p>
      <w:pPr>
        <w:keepNext w:val="0"/>
        <w:keepLines w:val="0"/>
        <w:pageBreakBefore w:val="0"/>
        <w:widowControl w:val="0"/>
        <w:kinsoku/>
        <w:wordWrap/>
        <w:overflowPunct/>
        <w:topLinePunct w:val="0"/>
        <w:autoSpaceDE/>
        <w:autoSpaceDN/>
        <w:bidi w:val="0"/>
        <w:adjustRightInd/>
        <w:snapToGrid/>
        <w:spacing w:line="560" w:lineRule="exact"/>
        <w:contextualSpacing/>
        <w:jc w:val="right"/>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（人行西安分行，陕西自贸试验区西安国际港务区功能区提供）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contextualSpacing/>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bidi w:val="0"/>
        <w:spacing w:line="560" w:lineRule="exact"/>
        <w:ind w:right="0" w:rightChars="0"/>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案例10</w:t>
      </w:r>
    </w:p>
    <w:p>
      <w:pPr>
        <w:pStyle w:val="19"/>
        <w:keepNext w:val="0"/>
        <w:keepLines w:val="0"/>
        <w:pageBreakBefore w:val="0"/>
        <w:widowControl w:val="0"/>
        <w:kinsoku/>
        <w:wordWrap/>
        <w:overflowPunct/>
        <w:topLinePunct w:val="0"/>
        <w:bidi w:val="0"/>
        <w:spacing w:line="560" w:lineRule="exact"/>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default" w:ascii="Times New Roman" w:hAnsi="Times New Roman" w:eastAsia="方正小标宋简体" w:cs="Times New Roman"/>
          <w:b w:val="0"/>
          <w:bCs w:val="0"/>
          <w:color w:val="auto"/>
          <w:spacing w:val="0"/>
          <w:sz w:val="44"/>
          <w:szCs w:val="44"/>
          <w:lang w:val="en-US" w:eastAsia="zh-CN"/>
        </w:rPr>
        <w:t>多元化农业保险助推现代农业发展</w:t>
      </w:r>
    </w:p>
    <w:p>
      <w:pPr>
        <w:keepNext w:val="0"/>
        <w:keepLines w:val="0"/>
        <w:pageBreakBefore w:val="0"/>
        <w:widowControl w:val="0"/>
        <w:kinsoku/>
        <w:wordWrap/>
        <w:overflowPunct/>
        <w:topLinePunct w:val="0"/>
        <w:bidi w:val="0"/>
        <w:spacing w:line="560" w:lineRule="exact"/>
        <w:ind w:left="0" w:leftChars="0" w:right="0" w:rightChars="0" w:firstLine="640" w:firstLineChars="200"/>
        <w:jc w:val="left"/>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bidi w:val="0"/>
        <w:spacing w:line="560" w:lineRule="exact"/>
        <w:ind w:firstLine="640" w:firstLineChars="200"/>
        <w:jc w:val="both"/>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陕西自贸试验区杨凌片区高度重视农业保险对农业生产的支撑作用</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创新保险品种</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增强风险保障</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引入科技支撑</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提升服务水平</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积极扩大保险覆盖面</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探索构建多元化农业保险服务体系</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有效化解了农业风险</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稳定了农业生产</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推动现代农业高质量发展。</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一、主要做法</w:t>
      </w:r>
    </w:p>
    <w:p>
      <w:pPr>
        <w:keepNext w:val="0"/>
        <w:keepLines w:val="0"/>
        <w:pageBreakBefore w:val="0"/>
        <w:widowControl w:val="0"/>
        <w:kinsoku/>
        <w:wordWrap/>
        <w:overflowPunct/>
        <w:topLinePunct w:val="0"/>
        <w:bidi w:val="0"/>
        <w:spacing w:line="560" w:lineRule="exact"/>
        <w:ind w:firstLine="640" w:firstLineChars="200"/>
        <w:jc w:val="both"/>
        <w:rPr>
          <w:rFonts w:hint="eastAsia" w:ascii="仿宋_GB2312" w:hAnsi="仿宋_GB2312" w:eastAsia="仿宋_GB2312" w:cs="仿宋_GB2312"/>
          <w:sz w:val="32"/>
          <w:szCs w:val="32"/>
        </w:rPr>
      </w:pPr>
      <w:r>
        <w:rPr>
          <w:rStyle w:val="21"/>
          <w:rFonts w:hint="default" w:ascii="Times New Roman" w:hAnsi="Times New Roman" w:eastAsia="楷体_GB2312" w:cs="Times New Roman"/>
          <w:b w:val="0"/>
          <w:bCs w:val="0"/>
          <w:sz w:val="32"/>
          <w:szCs w:val="32"/>
          <w:lang w:val="en-GB" w:eastAsia="zh-CN" w:bidi="zh-CN"/>
        </w:rPr>
        <w:t>（一）</w:t>
      </w:r>
      <w:r>
        <w:rPr>
          <w:rStyle w:val="21"/>
          <w:rFonts w:hint="default" w:ascii="Times New Roman" w:hAnsi="Times New Roman" w:eastAsia="楷体_GB2312" w:cs="Times New Roman"/>
          <w:b w:val="0"/>
          <w:bCs w:val="0"/>
          <w:sz w:val="32"/>
          <w:szCs w:val="32"/>
          <w:lang w:val="en-US" w:eastAsia="zh-CN" w:bidi="zh-CN"/>
        </w:rPr>
        <w:t>创新农业保险品种。</w:t>
      </w:r>
      <w:r>
        <w:rPr>
          <w:rFonts w:hint="eastAsia" w:ascii="仿宋_GB2312" w:hAnsi="仿宋_GB2312" w:eastAsia="仿宋_GB2312" w:cs="仿宋_GB2312"/>
          <w:b/>
          <w:bCs/>
          <w:sz w:val="32"/>
          <w:szCs w:val="32"/>
        </w:rPr>
        <w:t>一是</w:t>
      </w:r>
      <w:r>
        <w:rPr>
          <w:rFonts w:hint="eastAsia" w:ascii="仿宋_GB2312" w:hAnsi="仿宋_GB2312" w:eastAsia="仿宋_GB2312" w:cs="仿宋_GB2312"/>
          <w:sz w:val="32"/>
          <w:szCs w:val="32"/>
        </w:rPr>
        <w:t>从保农户收入出发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推出果蔬收入保险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实现了农业保险由成本保障向收入保障转变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进一步提高了农业保险的保障水平。</w:t>
      </w:r>
      <w:r>
        <w:rPr>
          <w:rFonts w:hint="eastAsia" w:ascii="仿宋_GB2312" w:hAnsi="仿宋_GB2312" w:eastAsia="仿宋_GB2312" w:cs="仿宋_GB2312"/>
          <w:b/>
          <w:bCs/>
          <w:sz w:val="32"/>
          <w:szCs w:val="32"/>
        </w:rPr>
        <w:t>二是</w:t>
      </w:r>
      <w:r>
        <w:rPr>
          <w:rFonts w:hint="eastAsia" w:ascii="仿宋_GB2312" w:hAnsi="仿宋_GB2312" w:eastAsia="仿宋_GB2312" w:cs="仿宋_GB2312"/>
          <w:sz w:val="32"/>
          <w:szCs w:val="32"/>
        </w:rPr>
        <w:t>从发展地方特色出发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推出“银保富”系列保险品种、价格指数保险、价格+期货保险、气象指数保险等。通过试点“银保富”大棚保险、玉米期货价格保险、蔬菜和水果价格指数保险、葡萄和猕猴桃气象指数保险等19个特色险种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为杨凌片区发展特色农业提供有力支撑。</w:t>
      </w:r>
      <w:r>
        <w:rPr>
          <w:rFonts w:hint="eastAsia" w:ascii="仿宋_GB2312" w:hAnsi="仿宋_GB2312" w:eastAsia="仿宋_GB2312" w:cs="仿宋_GB2312"/>
          <w:b/>
          <w:bCs/>
          <w:sz w:val="32"/>
          <w:szCs w:val="32"/>
        </w:rPr>
        <w:t>三是</w:t>
      </w:r>
      <w:r>
        <w:rPr>
          <w:rFonts w:hint="eastAsia" w:ascii="仿宋_GB2312" w:hAnsi="仿宋_GB2312" w:eastAsia="仿宋_GB2312" w:cs="仿宋_GB2312"/>
          <w:sz w:val="32"/>
          <w:szCs w:val="32"/>
        </w:rPr>
        <w:t>从满足农业生产经营主体不同需求出发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推出个性化定制保险品种。如针对肉牛养殖企业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有针对性地开发了“银保富”繁育肉牛险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满足了个性化需求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扩大了保险覆盖面。</w:t>
      </w:r>
    </w:p>
    <w:p>
      <w:pPr>
        <w:keepNext w:val="0"/>
        <w:keepLines w:val="0"/>
        <w:pageBreakBefore w:val="0"/>
        <w:widowControl w:val="0"/>
        <w:kinsoku/>
        <w:wordWrap/>
        <w:overflowPunct/>
        <w:topLinePunct w:val="0"/>
        <w:bidi w:val="0"/>
        <w:spacing w:line="560" w:lineRule="exact"/>
        <w:ind w:firstLine="640" w:firstLineChars="200"/>
        <w:jc w:val="both"/>
        <w:rPr>
          <w:rFonts w:hint="eastAsia" w:ascii="仿宋_GB2312" w:hAnsi="仿宋_GB2312" w:eastAsia="仿宋_GB2312" w:cs="仿宋_GB2312"/>
          <w:sz w:val="32"/>
          <w:szCs w:val="32"/>
        </w:rPr>
      </w:pPr>
      <w:r>
        <w:rPr>
          <w:rStyle w:val="21"/>
          <w:rFonts w:hint="default" w:ascii="Times New Roman" w:hAnsi="Times New Roman" w:eastAsia="楷体_GB2312" w:cs="Times New Roman"/>
          <w:b w:val="0"/>
          <w:bCs w:val="0"/>
          <w:sz w:val="32"/>
          <w:szCs w:val="32"/>
          <w:lang w:val="en-GB" w:eastAsia="zh-CN" w:bidi="zh-CN"/>
        </w:rPr>
        <w:t>（二）</w:t>
      </w:r>
      <w:r>
        <w:rPr>
          <w:rStyle w:val="21"/>
          <w:rFonts w:hint="default" w:ascii="Times New Roman" w:hAnsi="Times New Roman" w:eastAsia="楷体_GB2312" w:cs="Times New Roman"/>
          <w:b w:val="0"/>
          <w:bCs w:val="0"/>
          <w:sz w:val="32"/>
          <w:szCs w:val="32"/>
          <w:lang w:val="en-US" w:eastAsia="zh-CN" w:bidi="zh-CN"/>
        </w:rPr>
        <w:t>构建保险服务网络。</w:t>
      </w:r>
      <w:r>
        <w:rPr>
          <w:rFonts w:hint="eastAsia" w:ascii="仿宋_GB2312" w:hAnsi="仿宋_GB2312" w:eastAsia="仿宋_GB2312" w:cs="仿宋_GB2312"/>
          <w:sz w:val="32"/>
          <w:szCs w:val="32"/>
        </w:rPr>
        <w:t>在重点乡镇设立“三农”保险服务办公室或乡镇营销服务部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在村级组建了农村保险协保员队伍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形成“镇镇有网点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村村有人员”的保险服务网络格局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使各类农业主体足不出户就可以知晓、办理农业保险和农业保险贷业务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为当地8万多户农民提供了便捷周到的承保、理赔等服务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打通了保险服务的“最后一公里”。</w:t>
      </w:r>
    </w:p>
    <w:p>
      <w:pPr>
        <w:keepNext w:val="0"/>
        <w:keepLines w:val="0"/>
        <w:pageBreakBefore w:val="0"/>
        <w:widowControl w:val="0"/>
        <w:kinsoku/>
        <w:wordWrap/>
        <w:overflowPunct/>
        <w:topLinePunct w:val="0"/>
        <w:bidi w:val="0"/>
        <w:spacing w:line="560" w:lineRule="exact"/>
        <w:ind w:firstLine="640" w:firstLineChars="200"/>
        <w:jc w:val="both"/>
        <w:rPr>
          <w:rFonts w:hint="default" w:ascii="Times New Roman" w:hAnsi="Times New Roman" w:eastAsia="仿宋_GB2312" w:cs="Times New Roman"/>
          <w:sz w:val="32"/>
          <w:szCs w:val="32"/>
        </w:rPr>
      </w:pPr>
      <w:r>
        <w:rPr>
          <w:rStyle w:val="21"/>
          <w:rFonts w:hint="default" w:ascii="Times New Roman" w:hAnsi="Times New Roman" w:eastAsia="楷体_GB2312" w:cs="Times New Roman"/>
          <w:b w:val="0"/>
          <w:bCs w:val="0"/>
          <w:sz w:val="32"/>
          <w:szCs w:val="32"/>
          <w:lang w:val="en-GB" w:eastAsia="zh-CN" w:bidi="zh-CN"/>
        </w:rPr>
        <w:t>（三）</w:t>
      </w:r>
      <w:r>
        <w:rPr>
          <w:rStyle w:val="21"/>
          <w:rFonts w:hint="default" w:ascii="Times New Roman" w:hAnsi="Times New Roman" w:eastAsia="楷体_GB2312" w:cs="Times New Roman"/>
          <w:b w:val="0"/>
          <w:bCs w:val="0"/>
          <w:sz w:val="32"/>
          <w:szCs w:val="32"/>
          <w:lang w:val="en-US" w:eastAsia="zh-CN" w:bidi="zh-CN"/>
        </w:rPr>
        <w:t>推进险资支农融资。</w:t>
      </w:r>
      <w:r>
        <w:rPr>
          <w:rFonts w:hint="eastAsia" w:ascii="仿宋_GB2312" w:hAnsi="仿宋_GB2312" w:eastAsia="仿宋_GB2312" w:cs="仿宋_GB2312"/>
          <w:sz w:val="32"/>
          <w:szCs w:val="32"/>
        </w:rPr>
        <w:t>实行“政府政策支持+保险资金融资+保险风险保障”运行模式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由保险公司直接向农户发放贷款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无担保</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无抵押</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贷款利息经贴息支持后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比银行机构低3—4个百分点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有效破解了农民融资难、融资贵的问题。</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sz w:val="32"/>
          <w:szCs w:val="32"/>
        </w:rPr>
      </w:pPr>
      <w:r>
        <w:rPr>
          <w:rStyle w:val="21"/>
          <w:rFonts w:hint="default" w:ascii="Times New Roman" w:hAnsi="Times New Roman" w:eastAsia="楷体_GB2312" w:cs="Times New Roman"/>
          <w:b w:val="0"/>
          <w:bCs w:val="0"/>
          <w:sz w:val="32"/>
          <w:szCs w:val="32"/>
          <w:lang w:val="en-GB" w:eastAsia="zh-CN" w:bidi="zh-CN"/>
        </w:rPr>
        <w:t>（四）</w:t>
      </w:r>
      <w:r>
        <w:rPr>
          <w:rStyle w:val="21"/>
          <w:rFonts w:hint="default" w:ascii="Times New Roman" w:hAnsi="Times New Roman" w:eastAsia="楷体_GB2312" w:cs="Times New Roman"/>
          <w:b w:val="0"/>
          <w:bCs w:val="0"/>
          <w:sz w:val="32"/>
          <w:szCs w:val="32"/>
          <w:lang w:val="en-US" w:eastAsia="zh-CN" w:bidi="zh-CN"/>
        </w:rPr>
        <w:t>创新保险服务模式。</w:t>
      </w:r>
      <w:r>
        <w:rPr>
          <w:rFonts w:hint="eastAsia" w:ascii="仿宋_GB2312" w:hAnsi="仿宋_GB2312" w:eastAsia="仿宋_GB2312" w:cs="仿宋_GB2312"/>
          <w:sz w:val="32"/>
          <w:szCs w:val="32"/>
        </w:rPr>
        <w:t>通过应用新技术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推进保险理赔承保智能化。将地理信息、遥感技术应用于种植业承保理赔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探索出了“按图承保</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按图理赔”的农业保险经营新模式;应用人工智能技术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通过动物面部和耳标识别等实现远程定损理赔等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减少了理赔程序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加快了理赔速度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帮助参保农户及时恢复再生产。</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二、实践效果</w:t>
      </w:r>
    </w:p>
    <w:p>
      <w:pPr>
        <w:keepNext w:val="0"/>
        <w:keepLines w:val="0"/>
        <w:pageBreakBefore w:val="0"/>
        <w:widowControl w:val="0"/>
        <w:kinsoku/>
        <w:wordWrap/>
        <w:overflowPunct/>
        <w:topLinePunct w:val="0"/>
        <w:bidi w:val="0"/>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杨凌片区通过建立多元化的保险服务体系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满足了农业经营主体的多元化需求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从源头保障了农业生产经营主体的基本收益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降低了生产经营风险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发挥了“兜底”功能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为现代农业高质量发展注入了新动能。自贸试验区成立以来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累计实施农业保险品种29种，累计承担农业风险21.11亿元，累计赔款7314万元。通过险资支农为参加农业保险的农户和涉农企业提供保险融资约1500万元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当地农户和农业生产经营主体通过保险直接受益。同时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保险公司发挥保单增信作用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推进涉农企业用农业资产抵押贷款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累计撬动银行资金1.45亿元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有效解决了农业生产经营主体融资难、融资贵的问题。</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三、下一步工作思路</w:t>
      </w:r>
    </w:p>
    <w:p>
      <w:pPr>
        <w:keepNext w:val="0"/>
        <w:keepLines w:val="0"/>
        <w:pageBreakBefore w:val="0"/>
        <w:widowControl w:val="0"/>
        <w:kinsoku/>
        <w:wordWrap/>
        <w:overflowPunct/>
        <w:topLinePunct w:val="0"/>
        <w:bidi w:val="0"/>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下一步，陕西自贸试验区杨凌片区将继续开展农业保险示范创新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试行气象指数、价格指数、农业数字化收入保险、农产品进出口保险、关税保证保险等保险产品。支持农业保险机构通过农产品期货、期权等优化风险管理。整合计量种植成本、产量、品质、库存、销售等农业生产大数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形成“智慧农业+金融保险服务”新模式，服务国家乡村振兴战略。</w:t>
      </w:r>
    </w:p>
    <w:p>
      <w:pPr>
        <w:keepNext w:val="0"/>
        <w:keepLines w:val="0"/>
        <w:pageBreakBefore w:val="0"/>
        <w:widowControl w:val="0"/>
        <w:kinsoku/>
        <w:wordWrap/>
        <w:overflowPunct/>
        <w:topLinePunct w:val="0"/>
        <w:bidi w:val="0"/>
        <w:spacing w:line="560" w:lineRule="exact"/>
        <w:ind w:left="0" w:leftChars="0" w:right="0" w:rightChars="0" w:firstLine="640" w:firstLineChars="200"/>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（陕西自贸试验区杨凌片区提供）</w:t>
      </w: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jc w:val="both"/>
        <w:rPr>
          <w:rFonts w:hint="default" w:ascii="Times New Roman" w:hAnsi="Times New Roman" w:eastAsia="黑体" w:cs="Times New Roman"/>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案例11</w:t>
      </w:r>
    </w:p>
    <w:p>
      <w:pPr>
        <w:pStyle w:val="5"/>
        <w:keepNext w:val="0"/>
        <w:keepLines w:val="0"/>
        <w:pageBreakBefore w:val="0"/>
        <w:widowControl w:val="0"/>
        <w:kinsoku/>
        <w:wordWrap/>
        <w:overflowPunct/>
        <w:topLinePunct w:val="0"/>
        <w:bidi w:val="0"/>
        <w:spacing w:after="0" w:afterLines="0" w:line="560" w:lineRule="exact"/>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default" w:ascii="Times New Roman" w:hAnsi="Times New Roman" w:eastAsia="方正小标宋简体" w:cs="Times New Roman"/>
          <w:b w:val="0"/>
          <w:bCs w:val="0"/>
          <w:color w:val="auto"/>
          <w:spacing w:val="0"/>
          <w:sz w:val="44"/>
          <w:szCs w:val="44"/>
          <w:lang w:val="en-US" w:eastAsia="zh-CN"/>
        </w:rPr>
        <w:t>国际航材供应链服务平台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推动临空经济快速发展，满足航企低成本的航材需求，陕西自贸试验区空港新城功能区在内陆地区搭建了首个以国际航材为主的供应链管理中心，探索航材采购、通关、交易一体化发展模式，为航企提供全球范围内航材供应保障，有效推动了我省国际航材供应链服务体系的完善，助力航空企业加速聚集，为建设临空型国家物流枢纽提供</w:t>
      </w:r>
      <w:r>
        <w:rPr>
          <w:rFonts w:hint="default" w:ascii="Times New Roman" w:hAnsi="Times New Roman" w:eastAsia="仿宋_GB2312" w:cs="Times New Roman"/>
          <w:sz w:val="32"/>
          <w:szCs w:val="32"/>
          <w:lang w:eastAsia="zh-CN"/>
        </w:rPr>
        <w:t>了有力</w:t>
      </w:r>
      <w:r>
        <w:rPr>
          <w:rFonts w:hint="default" w:ascii="Times New Roman" w:hAnsi="Times New Roman" w:eastAsia="仿宋_GB2312" w:cs="Times New Roman"/>
          <w:sz w:val="32"/>
          <w:szCs w:val="32"/>
        </w:rPr>
        <w:t>保障。</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一、主要做法</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 w:cs="Times New Roman"/>
          <w:sz w:val="32"/>
          <w:szCs w:val="32"/>
        </w:rPr>
      </w:pPr>
      <w:bookmarkStart w:id="4" w:name="OLE_LINK1"/>
      <w:r>
        <w:rPr>
          <w:rStyle w:val="21"/>
          <w:rFonts w:hint="default" w:ascii="Times New Roman" w:hAnsi="Times New Roman" w:eastAsia="楷体_GB2312" w:cs="Times New Roman"/>
          <w:b w:val="0"/>
          <w:bCs w:val="0"/>
          <w:sz w:val="32"/>
          <w:szCs w:val="32"/>
          <w:lang w:val="en-GB" w:eastAsia="zh-CN" w:bidi="zh-CN"/>
        </w:rPr>
        <w:t>（一）探索国际航材集中供应。</w:t>
      </w:r>
      <w:r>
        <w:rPr>
          <w:rFonts w:hint="default" w:ascii="Times New Roman" w:hAnsi="Times New Roman" w:eastAsia="仿宋_GB2312" w:cs="Times New Roman"/>
          <w:sz w:val="32"/>
          <w:szCs w:val="32"/>
          <w:lang w:eastAsia="zh-CN"/>
        </w:rPr>
        <w:t>建立</w:t>
      </w:r>
      <w:r>
        <w:rPr>
          <w:rFonts w:hint="default" w:ascii="Times New Roman" w:hAnsi="Times New Roman" w:eastAsia="仿宋_GB2312" w:cs="Times New Roman"/>
          <w:sz w:val="32"/>
          <w:szCs w:val="32"/>
        </w:rPr>
        <w:t>国际航材供应链管理中心</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统一对接飞机制造商、航空零部件制造商、境内外航材供应商，实现各类通用航材备件和特殊备件的统一议价、集中采购，形成全省首家货品种类全、交易价格优的国际航材超市，</w:t>
      </w:r>
      <w:r>
        <w:rPr>
          <w:rFonts w:hint="default" w:ascii="Times New Roman" w:hAnsi="Times New Roman" w:eastAsia="仿宋_GB2312" w:cs="Times New Roman"/>
          <w:sz w:val="32"/>
          <w:szCs w:val="32"/>
          <w:lang w:eastAsia="zh-CN"/>
        </w:rPr>
        <w:t>实现</w:t>
      </w:r>
      <w:r>
        <w:rPr>
          <w:rFonts w:hint="default" w:ascii="Times New Roman" w:hAnsi="Times New Roman" w:eastAsia="仿宋_GB2312" w:cs="Times New Roman"/>
          <w:sz w:val="32"/>
          <w:szCs w:val="32"/>
        </w:rPr>
        <w:t>航材的</w:t>
      </w:r>
      <w:r>
        <w:rPr>
          <w:rFonts w:hint="default" w:ascii="Times New Roman" w:hAnsi="Times New Roman" w:eastAsia="仿宋_GB2312" w:cs="Times New Roman"/>
          <w:sz w:val="32"/>
          <w:szCs w:val="32"/>
          <w:lang w:eastAsia="zh-CN"/>
        </w:rPr>
        <w:t>快速</w:t>
      </w:r>
      <w:r>
        <w:rPr>
          <w:rFonts w:hint="default" w:ascii="Times New Roman" w:hAnsi="Times New Roman" w:eastAsia="仿宋_GB2312" w:cs="Times New Roman"/>
          <w:sz w:val="32"/>
          <w:szCs w:val="32"/>
        </w:rPr>
        <w:t>供应与应急保障。</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rPr>
      </w:pPr>
      <w:r>
        <w:rPr>
          <w:rStyle w:val="21"/>
          <w:rFonts w:hint="default" w:ascii="Times New Roman" w:hAnsi="Times New Roman" w:eastAsia="楷体_GB2312" w:cs="Times New Roman"/>
          <w:b w:val="0"/>
          <w:bCs w:val="0"/>
          <w:sz w:val="32"/>
          <w:szCs w:val="32"/>
          <w:lang w:val="en-GB" w:eastAsia="zh-CN" w:bidi="zh-CN"/>
        </w:rPr>
        <w:t>（二）创新航材通关交易模式。</w:t>
      </w:r>
      <w:r>
        <w:rPr>
          <w:rFonts w:hint="eastAsia" w:ascii="仿宋_GB2312" w:hAnsi="仿宋_GB2312" w:eastAsia="仿宋_GB2312" w:cs="仿宋_GB2312"/>
          <w:sz w:val="32"/>
          <w:szCs w:val="32"/>
        </w:rPr>
        <w:t>改变原先各航企自主采购、零散通关模式，由国际航材供应链管理中心作为采购人，实施“分批出货、分批缴税、集中报关、统一存放”，有效提升采购通关效率。</w:t>
      </w:r>
      <w:r>
        <w:rPr>
          <w:rFonts w:hint="eastAsia" w:ascii="仿宋_GB2312" w:hAnsi="仿宋_GB2312" w:eastAsia="仿宋_GB2312" w:cs="仿宋_GB2312"/>
          <w:sz w:val="32"/>
          <w:szCs w:val="32"/>
          <w:lang w:eastAsia="zh-CN"/>
        </w:rPr>
        <w:t>创新</w:t>
      </w:r>
      <w:r>
        <w:rPr>
          <w:rFonts w:hint="eastAsia" w:ascii="仿宋_GB2312" w:hAnsi="仿宋_GB2312" w:eastAsia="仿宋_GB2312" w:cs="仿宋_GB2312"/>
          <w:sz w:val="32"/>
          <w:szCs w:val="32"/>
        </w:rPr>
        <w:t>供应链金融</w:t>
      </w:r>
      <w:r>
        <w:rPr>
          <w:rFonts w:hint="eastAsia" w:ascii="仿宋_GB2312" w:hAnsi="仿宋_GB2312" w:eastAsia="仿宋_GB2312" w:cs="仿宋_GB2312"/>
          <w:sz w:val="32"/>
          <w:szCs w:val="32"/>
          <w:lang w:eastAsia="zh-CN"/>
        </w:rPr>
        <w:t>模式</w:t>
      </w:r>
      <w:r>
        <w:rPr>
          <w:rFonts w:hint="eastAsia" w:ascii="仿宋_GB2312" w:hAnsi="仿宋_GB2312" w:eastAsia="仿宋_GB2312" w:cs="仿宋_GB2312"/>
          <w:sz w:val="32"/>
          <w:szCs w:val="32"/>
        </w:rPr>
        <w:t>，航企可凭借航材进口采购订单，申请低利率的短期贷款或由</w:t>
      </w:r>
      <w:r>
        <w:rPr>
          <w:rFonts w:hint="eastAsia" w:ascii="仿宋_GB2312" w:hAnsi="仿宋_GB2312" w:eastAsia="仿宋_GB2312" w:cs="仿宋_GB2312"/>
          <w:sz w:val="32"/>
          <w:szCs w:val="32"/>
          <w:lang w:eastAsia="zh-CN"/>
        </w:rPr>
        <w:t>中心先行</w:t>
      </w:r>
      <w:r>
        <w:rPr>
          <w:rFonts w:hint="eastAsia" w:ascii="仿宋_GB2312" w:hAnsi="仿宋_GB2312" w:eastAsia="仿宋_GB2312" w:cs="仿宋_GB2312"/>
          <w:sz w:val="32"/>
          <w:szCs w:val="32"/>
        </w:rPr>
        <w:t>垫付，待航材交付后支付</w:t>
      </w:r>
      <w:r>
        <w:rPr>
          <w:rFonts w:hint="eastAsia" w:ascii="仿宋_GB2312" w:hAnsi="仿宋_GB2312" w:eastAsia="仿宋_GB2312" w:cs="仿宋_GB2312"/>
          <w:sz w:val="32"/>
          <w:szCs w:val="32"/>
          <w:lang w:eastAsia="zh-CN"/>
        </w:rPr>
        <w:t>少量</w:t>
      </w:r>
      <w:r>
        <w:rPr>
          <w:rFonts w:hint="eastAsia" w:ascii="仿宋_GB2312" w:hAnsi="仿宋_GB2312" w:eastAsia="仿宋_GB2312" w:cs="仿宋_GB2312"/>
          <w:sz w:val="32"/>
          <w:szCs w:val="32"/>
        </w:rPr>
        <w:t xml:space="preserve">资金使用费。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rPr>
      </w:pPr>
      <w:r>
        <w:rPr>
          <w:rStyle w:val="21"/>
          <w:rFonts w:hint="default" w:ascii="Times New Roman" w:hAnsi="Times New Roman" w:eastAsia="楷体_GB2312" w:cs="Times New Roman"/>
          <w:b w:val="0"/>
          <w:bCs w:val="0"/>
          <w:sz w:val="32"/>
          <w:szCs w:val="32"/>
          <w:lang w:val="en-GB" w:eastAsia="zh-CN" w:bidi="zh-CN"/>
        </w:rPr>
        <w:t>（三）优化航材保障支援机制。</w:t>
      </w:r>
      <w:r>
        <w:rPr>
          <w:rFonts w:hint="eastAsia" w:ascii="仿宋_GB2312" w:hAnsi="仿宋_GB2312" w:eastAsia="仿宋_GB2312" w:cs="仿宋_GB2312"/>
          <w:sz w:val="32"/>
          <w:szCs w:val="32"/>
          <w:lang w:eastAsia="zh-CN"/>
        </w:rPr>
        <w:t>中心</w:t>
      </w:r>
      <w:r>
        <w:rPr>
          <w:rFonts w:hint="eastAsia" w:ascii="仿宋_GB2312" w:hAnsi="仿宋_GB2312" w:eastAsia="仿宋_GB2312" w:cs="仿宋_GB2312"/>
          <w:sz w:val="32"/>
          <w:szCs w:val="32"/>
        </w:rPr>
        <w:t>对航材仓储存放实行“一材一码”、分区集中存储、按需出货，实现标准和集约一体化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建立</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航材供销系统，推行智能化管理，对相关客户的航材使用种类、频次、生产计划及使用习惯等进行分析，实现航材库存预警，确保航材库存始终保持在合理范围内，</w:t>
      </w:r>
      <w:r>
        <w:rPr>
          <w:rFonts w:hint="eastAsia" w:ascii="仿宋_GB2312" w:hAnsi="仿宋_GB2312" w:eastAsia="仿宋_GB2312" w:cs="仿宋_GB2312"/>
          <w:sz w:val="32"/>
          <w:szCs w:val="32"/>
          <w:lang w:eastAsia="zh-CN"/>
        </w:rPr>
        <w:t>实现</w:t>
      </w:r>
      <w:r>
        <w:rPr>
          <w:rFonts w:hint="eastAsia" w:ascii="仿宋_GB2312" w:hAnsi="仿宋_GB2312" w:eastAsia="仿宋_GB2312" w:cs="仿宋_GB2312"/>
          <w:sz w:val="32"/>
          <w:szCs w:val="32"/>
        </w:rPr>
        <w:t>智能</w:t>
      </w:r>
      <w:r>
        <w:rPr>
          <w:rFonts w:hint="eastAsia" w:ascii="仿宋_GB2312" w:hAnsi="仿宋_GB2312" w:eastAsia="仿宋_GB2312" w:cs="仿宋_GB2312"/>
          <w:sz w:val="32"/>
          <w:szCs w:val="32"/>
          <w:lang w:eastAsia="zh-CN"/>
        </w:rPr>
        <w:t>化</w:t>
      </w:r>
      <w:r>
        <w:rPr>
          <w:rFonts w:hint="eastAsia" w:ascii="仿宋_GB2312" w:hAnsi="仿宋_GB2312" w:eastAsia="仿宋_GB2312" w:cs="仿宋_GB2312"/>
          <w:sz w:val="32"/>
          <w:szCs w:val="32"/>
        </w:rPr>
        <w:t>信息化。</w:t>
      </w:r>
    </w:p>
    <w:bookmarkEnd w:id="4"/>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二、实践效果</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rPr>
      </w:pPr>
      <w:r>
        <w:rPr>
          <w:rStyle w:val="21"/>
          <w:rFonts w:hint="default" w:ascii="Times New Roman" w:hAnsi="Times New Roman" w:eastAsia="楷体_GB2312" w:cs="Times New Roman"/>
          <w:b w:val="0"/>
          <w:bCs w:val="0"/>
          <w:sz w:val="32"/>
          <w:szCs w:val="32"/>
          <w:lang w:val="en-GB" w:eastAsia="zh-CN" w:bidi="zh-CN"/>
        </w:rPr>
        <w:t>（一）满足航材供应需求。</w:t>
      </w:r>
      <w:r>
        <w:rPr>
          <w:rFonts w:hint="eastAsia" w:ascii="仿宋_GB2312" w:hAnsi="仿宋_GB2312" w:eastAsia="仿宋_GB2312" w:cs="仿宋_GB2312"/>
          <w:sz w:val="32"/>
          <w:szCs w:val="32"/>
        </w:rPr>
        <w:t>目前，</w:t>
      </w:r>
      <w:r>
        <w:rPr>
          <w:rFonts w:hint="eastAsia" w:ascii="仿宋_GB2312" w:hAnsi="仿宋_GB2312" w:eastAsia="仿宋_GB2312" w:cs="仿宋_GB2312"/>
          <w:sz w:val="32"/>
          <w:szCs w:val="32"/>
          <w:lang w:val="en-GB"/>
        </w:rPr>
        <w:t>西安国际航材供应链管理中心</w:t>
      </w:r>
      <w:r>
        <w:rPr>
          <w:rFonts w:hint="eastAsia" w:ascii="仿宋_GB2312" w:hAnsi="仿宋_GB2312" w:eastAsia="仿宋_GB2312" w:cs="仿宋_GB2312"/>
          <w:sz w:val="32"/>
          <w:szCs w:val="32"/>
        </w:rPr>
        <w:t>已与</w:t>
      </w:r>
      <w:r>
        <w:rPr>
          <w:rFonts w:hint="eastAsia" w:ascii="仿宋_GB2312" w:hAnsi="仿宋_GB2312" w:eastAsia="仿宋_GB2312" w:cs="仿宋_GB2312"/>
          <w:sz w:val="32"/>
          <w:szCs w:val="32"/>
          <w:lang w:val="en-GB"/>
        </w:rPr>
        <w:t>德国、法国、英国、美国等</w:t>
      </w:r>
      <w:r>
        <w:rPr>
          <w:rFonts w:hint="eastAsia" w:ascii="仿宋_GB2312" w:hAnsi="仿宋_GB2312" w:eastAsia="仿宋_GB2312" w:cs="仿宋_GB2312"/>
          <w:sz w:val="32"/>
          <w:szCs w:val="32"/>
          <w:lang w:val="en-US" w:eastAsia="zh-CN"/>
        </w:rPr>
        <w:t>欧美</w:t>
      </w:r>
      <w:r>
        <w:rPr>
          <w:rFonts w:hint="eastAsia" w:ascii="仿宋_GB2312" w:hAnsi="仿宋_GB2312" w:eastAsia="仿宋_GB2312" w:cs="仿宋_GB2312"/>
          <w:sz w:val="32"/>
          <w:szCs w:val="32"/>
          <w:lang w:val="en-GB"/>
        </w:rPr>
        <w:t>多家国际知名航材供应商</w:t>
      </w:r>
      <w:r>
        <w:rPr>
          <w:rFonts w:hint="eastAsia" w:ascii="仿宋_GB2312" w:hAnsi="仿宋_GB2312" w:eastAsia="仿宋_GB2312" w:cs="仿宋_GB2312"/>
          <w:sz w:val="32"/>
          <w:szCs w:val="32"/>
        </w:rPr>
        <w:t>及国内的</w:t>
      </w:r>
      <w:r>
        <w:rPr>
          <w:rFonts w:hint="eastAsia" w:ascii="仿宋_GB2312" w:hAnsi="仿宋_GB2312" w:eastAsia="仿宋_GB2312" w:cs="仿宋_GB2312"/>
          <w:sz w:val="32"/>
          <w:szCs w:val="32"/>
          <w:lang w:val="en-GB"/>
        </w:rPr>
        <w:t>沈飞、西飞、中航国际等</w:t>
      </w:r>
      <w:r>
        <w:rPr>
          <w:rFonts w:hint="eastAsia" w:ascii="仿宋_GB2312" w:hAnsi="仿宋_GB2312" w:eastAsia="仿宋_GB2312" w:cs="仿宋_GB2312"/>
          <w:sz w:val="32"/>
          <w:szCs w:val="32"/>
        </w:rPr>
        <w:t>企业建立了合作机制，航材超市采购储备各类进口航材备件</w:t>
      </w:r>
      <w:r>
        <w:rPr>
          <w:rFonts w:hint="eastAsia" w:ascii="仿宋_GB2312" w:hAnsi="仿宋_GB2312" w:eastAsia="仿宋_GB2312" w:cs="仿宋_GB2312"/>
          <w:sz w:val="32"/>
          <w:szCs w:val="32"/>
          <w:lang w:val="en-US" w:eastAsia="zh-CN"/>
        </w:rPr>
        <w:t>40</w:t>
      </w:r>
      <w:r>
        <w:rPr>
          <w:rFonts w:hint="eastAsia" w:ascii="仿宋_GB2312" w:hAnsi="仿宋_GB2312" w:eastAsia="仿宋_GB2312" w:cs="仿宋_GB2312"/>
          <w:sz w:val="32"/>
          <w:szCs w:val="32"/>
        </w:rPr>
        <w:t>0余吨</w:t>
      </w:r>
      <w:r>
        <w:rPr>
          <w:rFonts w:hint="eastAsia" w:ascii="仿宋_GB2312" w:hAnsi="仿宋_GB2312" w:eastAsia="仿宋_GB2312" w:cs="仿宋_GB2312"/>
          <w:sz w:val="32"/>
          <w:szCs w:val="32"/>
          <w:lang w:eastAsia="zh-CN"/>
        </w:rPr>
        <w:t>，有效满足各类企业的实际需求</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GB" w:eastAsia="zh-CN" w:bidi="zh-CN"/>
        </w:rPr>
        <w:t>（二）实现航材资源集约。</w:t>
      </w:r>
      <w:r>
        <w:rPr>
          <w:rFonts w:hint="eastAsia" w:ascii="仿宋_GB2312" w:hAnsi="仿宋_GB2312" w:eastAsia="仿宋_GB2312" w:cs="仿宋_GB2312"/>
          <w:sz w:val="32"/>
          <w:szCs w:val="32"/>
          <w:lang w:val="en-US" w:eastAsia="zh-CN"/>
        </w:rPr>
        <w:t>中心成立以来，已完成国际航材进出口贸易额5亿元人民币，主要服务客户包括中国船舶、中航材、苏州赛峰等行业龙头企业，实现航材资源集中、集约，为西北地区飞机制造和运维提供了有力保障。</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rPr>
      </w:pPr>
      <w:r>
        <w:rPr>
          <w:rStyle w:val="21"/>
          <w:rFonts w:hint="default" w:ascii="Times New Roman" w:hAnsi="Times New Roman" w:eastAsia="楷体_GB2312" w:cs="Times New Roman"/>
          <w:b w:val="0"/>
          <w:bCs w:val="0"/>
          <w:sz w:val="32"/>
          <w:szCs w:val="32"/>
          <w:lang w:val="en-GB" w:eastAsia="zh-CN" w:bidi="zh-CN"/>
        </w:rPr>
        <w:t>（三）有效降低时间成本。</w:t>
      </w:r>
      <w:r>
        <w:rPr>
          <w:rFonts w:hint="eastAsia" w:ascii="仿宋_GB2312" w:hAnsi="仿宋_GB2312" w:eastAsia="仿宋_GB2312" w:cs="仿宋_GB2312"/>
          <w:sz w:val="32"/>
          <w:szCs w:val="32"/>
        </w:rPr>
        <w:t>中心推出的“分批出货、分批缴税、集中报关”模式，</w:t>
      </w:r>
      <w:r>
        <w:rPr>
          <w:rFonts w:hint="eastAsia" w:ascii="仿宋_GB2312" w:hAnsi="仿宋_GB2312" w:eastAsia="仿宋_GB2312" w:cs="仿宋_GB2312"/>
          <w:sz w:val="32"/>
          <w:szCs w:val="32"/>
          <w:lang w:eastAsia="zh-CN"/>
        </w:rPr>
        <w:t>帮助</w:t>
      </w:r>
      <w:r>
        <w:rPr>
          <w:rFonts w:hint="eastAsia" w:ascii="仿宋_GB2312" w:hAnsi="仿宋_GB2312" w:eastAsia="仿宋_GB2312" w:cs="仿宋_GB2312"/>
          <w:sz w:val="32"/>
          <w:szCs w:val="32"/>
        </w:rPr>
        <w:t>航企客户按需分批提货，节省了国内客户</w:t>
      </w:r>
      <w:r>
        <w:rPr>
          <w:rFonts w:hint="eastAsia" w:ascii="仿宋_GB2312" w:hAnsi="仿宋_GB2312" w:eastAsia="仿宋_GB2312" w:cs="仿宋_GB2312"/>
          <w:sz w:val="32"/>
          <w:szCs w:val="32"/>
          <w:lang w:val="en-US" w:eastAsia="zh-CN"/>
        </w:rPr>
        <w:t>3-7天的</w:t>
      </w:r>
      <w:r>
        <w:rPr>
          <w:rFonts w:hint="eastAsia" w:ascii="仿宋_GB2312" w:hAnsi="仿宋_GB2312" w:eastAsia="仿宋_GB2312" w:cs="仿宋_GB2312"/>
          <w:sz w:val="32"/>
          <w:szCs w:val="32"/>
        </w:rPr>
        <w:t>交货周期，人力成本也下降近50%。</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三、下一步工作思路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下一</w:t>
      </w:r>
      <w:r>
        <w:rPr>
          <w:rFonts w:hint="default" w:ascii="Times New Roman" w:hAnsi="Times New Roman" w:eastAsia="仿宋_GB2312" w:cs="Times New Roman"/>
          <w:sz w:val="32"/>
          <w:szCs w:val="32"/>
          <w:lang w:eastAsia="zh-CN"/>
        </w:rPr>
        <w:t>步</w:t>
      </w:r>
      <w:r>
        <w:rPr>
          <w:rFonts w:hint="default" w:ascii="Times New Roman" w:hAnsi="Times New Roman" w:eastAsia="仿宋_GB2312" w:cs="Times New Roman"/>
          <w:sz w:val="32"/>
          <w:szCs w:val="32"/>
        </w:rPr>
        <w:t>，陕西自贸试验区空港新城功能区将持续完善以国际航材为主的供应链服务体系，重点在航材国际采购与调剂、航材信息与共享保障、航材应急支援、航材供应链服务、航材检测等领域实现突破，助力航材供应高质量发展，为下一步开展飞机保税维修奠定基础。</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（陕西自贸试验区空港新城功能区提供）</w:t>
      </w: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案例12</w:t>
      </w:r>
    </w:p>
    <w:p>
      <w:pPr>
        <w:keepNext w:val="0"/>
        <w:keepLines w:val="0"/>
        <w:pageBreakBefore w:val="0"/>
        <w:widowControl w:val="0"/>
        <w:kinsoku/>
        <w:wordWrap/>
        <w:overflowPunct/>
        <w:topLinePunct w:val="0"/>
        <w:bidi w:val="0"/>
        <w:spacing w:line="560" w:lineRule="exact"/>
        <w:ind w:left="0" w:leftChars="0" w:right="0" w:rightChars="0"/>
        <w:jc w:val="center"/>
        <w:rPr>
          <w:rFonts w:hint="default" w:ascii="Times New Roman" w:hAnsi="Times New Roman" w:eastAsia="方正小标宋简体" w:cs="Times New Roman"/>
          <w:b w:val="0"/>
          <w:b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default" w:ascii="Times New Roman" w:hAnsi="Times New Roman" w:eastAsia="方正小标宋简体" w:cs="Times New Roman"/>
          <w:b w:val="0"/>
          <w:bCs w:val="0"/>
          <w:color w:val="auto"/>
          <w:spacing w:val="0"/>
          <w:sz w:val="44"/>
          <w:szCs w:val="44"/>
          <w:lang w:val="en-US" w:eastAsia="zh-CN"/>
        </w:rPr>
        <w:t>技术境外输出新模式</w:t>
      </w:r>
    </w:p>
    <w:p>
      <w:pPr>
        <w:keepNext w:val="0"/>
        <w:keepLines w:val="0"/>
        <w:pageBreakBefore w:val="0"/>
        <w:widowControl w:val="0"/>
        <w:kinsoku/>
        <w:wordWrap/>
        <w:overflowPunct/>
        <w:topLinePunct w:val="0"/>
        <w:bidi w:val="0"/>
        <w:adjustRightInd/>
        <w:snapToGrid/>
        <w:spacing w:line="560" w:lineRule="exact"/>
        <w:jc w:val="center"/>
        <w:textAlignment w:val="auto"/>
        <w:rPr>
          <w:rFonts w:hint="default" w:ascii="Times New Roman" w:hAnsi="Times New Roman" w:eastAsia="楷体_GB2312" w:cs="Times New Roman"/>
          <w:b w:val="0"/>
          <w:bCs w:val="0"/>
          <w:kern w:val="0"/>
          <w:sz w:val="32"/>
          <w:szCs w:val="32"/>
          <w:highlight w:val="none"/>
          <w:lang w:val="en-US" w:eastAsia="zh-CN" w:bidi="ar-SA"/>
        </w:rPr>
      </w:pP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lang w:eastAsia="zh-CN"/>
        </w:rPr>
        <w:t>陕西自贸试验区</w:t>
      </w:r>
      <w:r>
        <w:rPr>
          <w:rFonts w:hint="eastAsia" w:ascii="仿宋_GB2312" w:hAnsi="仿宋_GB2312" w:eastAsia="仿宋_GB2312" w:cs="仿宋_GB2312"/>
          <w:kern w:val="0"/>
          <w:sz w:val="32"/>
          <w:szCs w:val="32"/>
          <w:highlight w:val="none"/>
        </w:rPr>
        <w:t>西安高新区</w:t>
      </w:r>
      <w:r>
        <w:rPr>
          <w:rFonts w:hint="eastAsia" w:ascii="仿宋_GB2312" w:hAnsi="仿宋_GB2312" w:eastAsia="仿宋_GB2312" w:cs="仿宋_GB2312"/>
          <w:kern w:val="0"/>
          <w:sz w:val="32"/>
          <w:szCs w:val="32"/>
          <w:highlight w:val="none"/>
          <w:lang w:eastAsia="zh-CN"/>
        </w:rPr>
        <w:t>功能区</w:t>
      </w:r>
      <w:r>
        <w:rPr>
          <w:rFonts w:hint="eastAsia" w:ascii="仿宋_GB2312" w:hAnsi="仿宋_GB2312" w:eastAsia="仿宋_GB2312" w:cs="仿宋_GB2312"/>
          <w:kern w:val="0"/>
          <w:sz w:val="32"/>
          <w:szCs w:val="32"/>
          <w:highlight w:val="none"/>
        </w:rPr>
        <w:t>把握全球供应链与价值链调整机遇，立足构建新发展格局，通过搭建全球技术服务平台、开展技术验证和转化、</w:t>
      </w:r>
      <w:r>
        <w:rPr>
          <w:rFonts w:hint="eastAsia" w:ascii="仿宋_GB2312" w:hAnsi="仿宋_GB2312" w:eastAsia="仿宋_GB2312" w:cs="仿宋_GB2312"/>
          <w:kern w:val="0"/>
          <w:sz w:val="32"/>
          <w:szCs w:val="32"/>
          <w:highlight w:val="none"/>
          <w:lang w:val="en-US" w:eastAsia="zh-CN"/>
        </w:rPr>
        <w:t>构建</w:t>
      </w:r>
      <w:r>
        <w:rPr>
          <w:rFonts w:hint="eastAsia" w:ascii="仿宋_GB2312" w:hAnsi="仿宋_GB2312" w:eastAsia="仿宋_GB2312" w:cs="仿宋_GB2312"/>
          <w:kern w:val="0"/>
          <w:sz w:val="32"/>
          <w:szCs w:val="32"/>
          <w:highlight w:val="none"/>
        </w:rPr>
        <w:t>技术</w:t>
      </w:r>
      <w:r>
        <w:rPr>
          <w:rFonts w:hint="eastAsia" w:ascii="仿宋_GB2312" w:hAnsi="仿宋_GB2312" w:eastAsia="仿宋_GB2312" w:cs="仿宋_GB2312"/>
          <w:kern w:val="0"/>
          <w:sz w:val="32"/>
          <w:szCs w:val="32"/>
          <w:highlight w:val="none"/>
          <w:lang w:eastAsia="zh-CN"/>
        </w:rPr>
        <w:t>出海</w:t>
      </w:r>
      <w:r>
        <w:rPr>
          <w:rFonts w:hint="eastAsia" w:ascii="仿宋_GB2312" w:hAnsi="仿宋_GB2312" w:eastAsia="仿宋_GB2312" w:cs="仿宋_GB2312"/>
          <w:kern w:val="0"/>
          <w:sz w:val="32"/>
          <w:szCs w:val="32"/>
          <w:highlight w:val="none"/>
        </w:rPr>
        <w:t>服务体系等方式，探索</w:t>
      </w:r>
      <w:r>
        <w:rPr>
          <w:rFonts w:hint="eastAsia" w:ascii="仿宋_GB2312" w:hAnsi="仿宋_GB2312" w:eastAsia="仿宋_GB2312" w:cs="仿宋_GB2312"/>
          <w:kern w:val="0"/>
          <w:sz w:val="32"/>
          <w:szCs w:val="32"/>
          <w:highlight w:val="none"/>
          <w:lang w:val="en-US" w:eastAsia="zh-CN"/>
        </w:rPr>
        <w:t>出了</w:t>
      </w:r>
      <w:r>
        <w:rPr>
          <w:rFonts w:hint="eastAsia" w:ascii="仿宋_GB2312" w:hAnsi="仿宋_GB2312" w:eastAsia="仿宋_GB2312" w:cs="仿宋_GB2312"/>
          <w:kern w:val="0"/>
          <w:sz w:val="32"/>
          <w:szCs w:val="32"/>
          <w:highlight w:val="none"/>
        </w:rPr>
        <w:t>技术</w:t>
      </w:r>
      <w:r>
        <w:rPr>
          <w:rFonts w:hint="eastAsia" w:ascii="仿宋_GB2312" w:hAnsi="仿宋_GB2312" w:eastAsia="仿宋_GB2312" w:cs="仿宋_GB2312"/>
          <w:kern w:val="0"/>
          <w:sz w:val="32"/>
          <w:szCs w:val="32"/>
          <w:highlight w:val="none"/>
          <w:lang w:eastAsia="zh-CN"/>
        </w:rPr>
        <w:t>境外</w:t>
      </w:r>
      <w:r>
        <w:rPr>
          <w:rFonts w:hint="eastAsia" w:ascii="仿宋_GB2312" w:hAnsi="仿宋_GB2312" w:eastAsia="仿宋_GB2312" w:cs="仿宋_GB2312"/>
          <w:kern w:val="0"/>
          <w:sz w:val="32"/>
          <w:szCs w:val="32"/>
          <w:highlight w:val="none"/>
        </w:rPr>
        <w:t>输出新模式，实现了技术贸易</w:t>
      </w:r>
      <w:r>
        <w:rPr>
          <w:rFonts w:hint="eastAsia" w:ascii="仿宋_GB2312" w:hAnsi="仿宋_GB2312" w:eastAsia="仿宋_GB2312" w:cs="仿宋_GB2312"/>
          <w:kern w:val="0"/>
          <w:sz w:val="32"/>
          <w:szCs w:val="32"/>
          <w:highlight w:val="none"/>
          <w:lang w:eastAsia="zh-CN"/>
        </w:rPr>
        <w:t>快速增长</w:t>
      </w:r>
      <w:r>
        <w:rPr>
          <w:rFonts w:hint="eastAsia" w:ascii="仿宋_GB2312" w:hAnsi="仿宋_GB2312" w:eastAsia="仿宋_GB2312" w:cs="仿宋_GB2312"/>
          <w:kern w:val="0"/>
          <w:sz w:val="32"/>
          <w:szCs w:val="32"/>
          <w:highlight w:val="none"/>
        </w:rPr>
        <w:t>，</w:t>
      </w:r>
      <w:r>
        <w:rPr>
          <w:rFonts w:hint="eastAsia" w:ascii="仿宋_GB2312" w:hAnsi="仿宋_GB2312" w:eastAsia="仿宋_GB2312" w:cs="仿宋_GB2312"/>
          <w:kern w:val="0"/>
          <w:sz w:val="32"/>
          <w:szCs w:val="32"/>
          <w:highlight w:val="none"/>
          <w:lang w:eastAsia="zh-CN"/>
        </w:rPr>
        <w:t>激发</w:t>
      </w:r>
      <w:r>
        <w:rPr>
          <w:rFonts w:hint="eastAsia" w:ascii="仿宋_GB2312" w:hAnsi="仿宋_GB2312" w:eastAsia="仿宋_GB2312" w:cs="仿宋_GB2312"/>
          <w:kern w:val="0"/>
          <w:sz w:val="32"/>
          <w:szCs w:val="32"/>
          <w:highlight w:val="none"/>
        </w:rPr>
        <w:t>了技术贸易的发展动能，助推</w:t>
      </w:r>
      <w:r>
        <w:rPr>
          <w:rFonts w:hint="eastAsia" w:ascii="仿宋_GB2312" w:hAnsi="仿宋_GB2312" w:eastAsia="仿宋_GB2312" w:cs="仿宋_GB2312"/>
          <w:kern w:val="0"/>
          <w:sz w:val="32"/>
          <w:szCs w:val="32"/>
          <w:highlight w:val="none"/>
          <w:lang w:val="en-US" w:eastAsia="zh-CN"/>
        </w:rPr>
        <w:t>我国</w:t>
      </w:r>
      <w:r>
        <w:rPr>
          <w:rFonts w:hint="eastAsia" w:ascii="仿宋_GB2312" w:hAnsi="仿宋_GB2312" w:eastAsia="仿宋_GB2312" w:cs="仿宋_GB2312"/>
          <w:kern w:val="0"/>
          <w:sz w:val="32"/>
          <w:szCs w:val="32"/>
          <w:highlight w:val="none"/>
        </w:rPr>
        <w:t>成熟的产业化技术“走出去”。</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一、主要做法</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rPr>
          <w:rFonts w:hint="default" w:ascii="仿宋_GB2312" w:hAnsi="仿宋_GB2312" w:eastAsia="仿宋_GB2312" w:cs="仿宋_GB2312"/>
          <w:kern w:val="0"/>
          <w:sz w:val="32"/>
          <w:szCs w:val="32"/>
          <w:highlight w:val="none"/>
          <w:lang w:eastAsia="zh-CN"/>
        </w:rPr>
      </w:pPr>
      <w:r>
        <w:rPr>
          <w:rStyle w:val="21"/>
          <w:rFonts w:hint="default" w:ascii="Times New Roman" w:hAnsi="Times New Roman" w:eastAsia="楷体_GB2312" w:cs="Times New Roman"/>
          <w:b w:val="0"/>
          <w:bCs w:val="0"/>
          <w:sz w:val="32"/>
          <w:szCs w:val="32"/>
          <w:lang w:val="en-US" w:eastAsia="zh-CN" w:bidi="zh-CN"/>
        </w:rPr>
        <w:t>（一）搭建技术出口服务平台。</w:t>
      </w:r>
      <w:r>
        <w:rPr>
          <w:rFonts w:hint="default" w:ascii="仿宋_GB2312" w:hAnsi="仿宋_GB2312" w:eastAsia="仿宋_GB2312" w:cs="仿宋_GB2312"/>
          <w:kern w:val="0"/>
          <w:sz w:val="32"/>
          <w:szCs w:val="32"/>
          <w:highlight w:val="none"/>
          <w:lang w:eastAsia="zh-CN"/>
        </w:rPr>
        <w:t>平台对全国各类技术输出资源实施数据标准化归集，发布供需信息、提供技术路演展示、设备出海等服务，为有需求的“一带一路”沿线国家提供国内技术匹配；</w:t>
      </w:r>
      <w:r>
        <w:rPr>
          <w:rFonts w:hint="default" w:ascii="仿宋_GB2312" w:hAnsi="仿宋_GB2312" w:eastAsia="仿宋_GB2312" w:cs="仿宋_GB2312"/>
          <w:kern w:val="0"/>
          <w:sz w:val="32"/>
          <w:szCs w:val="32"/>
          <w:highlight w:val="none"/>
          <w:lang w:val="en-US" w:eastAsia="zh-CN"/>
        </w:rPr>
        <w:t>同时，持续</w:t>
      </w:r>
      <w:r>
        <w:rPr>
          <w:rFonts w:hint="default" w:ascii="仿宋_GB2312" w:hAnsi="仿宋_GB2312" w:eastAsia="仿宋_GB2312" w:cs="仿宋_GB2312"/>
          <w:kern w:val="0"/>
          <w:sz w:val="32"/>
          <w:szCs w:val="32"/>
          <w:highlight w:val="none"/>
          <w:lang w:eastAsia="zh-CN"/>
        </w:rPr>
        <w:t>探索技术</w:t>
      </w:r>
      <w:r>
        <w:rPr>
          <w:rFonts w:hint="default" w:ascii="仿宋_GB2312" w:hAnsi="仿宋_GB2312" w:eastAsia="仿宋_GB2312" w:cs="仿宋_GB2312"/>
          <w:kern w:val="0"/>
          <w:sz w:val="32"/>
          <w:szCs w:val="32"/>
          <w:highlight w:val="none"/>
          <w:lang w:val="en-US" w:eastAsia="zh-CN"/>
        </w:rPr>
        <w:t>境外</w:t>
      </w:r>
      <w:r>
        <w:rPr>
          <w:rFonts w:hint="default" w:ascii="仿宋_GB2312" w:hAnsi="仿宋_GB2312" w:eastAsia="仿宋_GB2312" w:cs="仿宋_GB2312"/>
          <w:kern w:val="0"/>
          <w:sz w:val="32"/>
          <w:szCs w:val="32"/>
          <w:highlight w:val="none"/>
          <w:lang w:eastAsia="zh-CN"/>
        </w:rPr>
        <w:t>输出交易服务机制，重点破解外方信用评估、风险控制、</w:t>
      </w:r>
      <w:r>
        <w:rPr>
          <w:rFonts w:hint="default" w:ascii="仿宋_GB2312" w:hAnsi="仿宋_GB2312" w:eastAsia="仿宋_GB2312" w:cs="仿宋_GB2312"/>
          <w:kern w:val="0"/>
          <w:sz w:val="32"/>
          <w:szCs w:val="32"/>
          <w:highlight w:val="none"/>
          <w:lang w:val="en-US" w:eastAsia="zh-CN"/>
        </w:rPr>
        <w:t>交易规则、</w:t>
      </w:r>
      <w:r>
        <w:rPr>
          <w:rFonts w:hint="default" w:ascii="仿宋_GB2312" w:hAnsi="仿宋_GB2312" w:eastAsia="仿宋_GB2312" w:cs="仿宋_GB2312"/>
          <w:kern w:val="0"/>
          <w:sz w:val="32"/>
          <w:szCs w:val="32"/>
          <w:highlight w:val="none"/>
          <w:lang w:eastAsia="zh-CN"/>
        </w:rPr>
        <w:t>资金回笼、</w:t>
      </w:r>
      <w:r>
        <w:rPr>
          <w:rFonts w:hint="default" w:ascii="仿宋_GB2312" w:hAnsi="仿宋_GB2312" w:eastAsia="仿宋_GB2312" w:cs="仿宋_GB2312"/>
          <w:kern w:val="0"/>
          <w:sz w:val="32"/>
          <w:szCs w:val="32"/>
          <w:highlight w:val="none"/>
          <w:lang w:val="en-US" w:eastAsia="zh-CN"/>
        </w:rPr>
        <w:t>全链条（全套）技术</w:t>
      </w:r>
      <w:r>
        <w:rPr>
          <w:rFonts w:hint="default" w:ascii="仿宋_GB2312" w:hAnsi="仿宋_GB2312" w:eastAsia="仿宋_GB2312" w:cs="仿宋_GB2312"/>
          <w:kern w:val="0"/>
          <w:sz w:val="32"/>
          <w:szCs w:val="32"/>
          <w:highlight w:val="none"/>
          <w:lang w:eastAsia="zh-CN"/>
        </w:rPr>
        <w:t>输出</w:t>
      </w:r>
      <w:r>
        <w:rPr>
          <w:rFonts w:hint="default" w:ascii="仿宋_GB2312" w:hAnsi="仿宋_GB2312" w:eastAsia="仿宋_GB2312" w:cs="仿宋_GB2312"/>
          <w:kern w:val="0"/>
          <w:sz w:val="32"/>
          <w:szCs w:val="32"/>
          <w:highlight w:val="none"/>
          <w:lang w:val="en-US" w:eastAsia="zh-CN"/>
        </w:rPr>
        <w:t>方式</w:t>
      </w:r>
      <w:r>
        <w:rPr>
          <w:rFonts w:hint="default" w:ascii="仿宋_GB2312" w:hAnsi="仿宋_GB2312" w:eastAsia="仿宋_GB2312" w:cs="仿宋_GB2312"/>
          <w:kern w:val="0"/>
          <w:sz w:val="32"/>
          <w:szCs w:val="32"/>
          <w:highlight w:val="none"/>
          <w:lang w:eastAsia="zh-CN"/>
        </w:rPr>
        <w:t>等关键问题，并在信贷、出口退税等方面</w:t>
      </w:r>
      <w:r>
        <w:rPr>
          <w:rFonts w:hint="default" w:ascii="仿宋_GB2312" w:hAnsi="仿宋_GB2312" w:eastAsia="仿宋_GB2312" w:cs="仿宋_GB2312"/>
          <w:kern w:val="0"/>
          <w:sz w:val="32"/>
          <w:szCs w:val="32"/>
          <w:highlight w:val="none"/>
          <w:lang w:val="en-US" w:eastAsia="zh-CN"/>
        </w:rPr>
        <w:t>给予集成</w:t>
      </w:r>
      <w:r>
        <w:rPr>
          <w:rFonts w:hint="default" w:ascii="仿宋_GB2312" w:hAnsi="仿宋_GB2312" w:eastAsia="仿宋_GB2312" w:cs="仿宋_GB2312"/>
          <w:kern w:val="0"/>
          <w:sz w:val="32"/>
          <w:szCs w:val="32"/>
          <w:highlight w:val="none"/>
          <w:lang w:eastAsia="zh-CN"/>
        </w:rPr>
        <w:t>政策</w:t>
      </w:r>
      <w:r>
        <w:rPr>
          <w:rFonts w:hint="default" w:ascii="仿宋_GB2312" w:hAnsi="仿宋_GB2312" w:eastAsia="仿宋_GB2312" w:cs="仿宋_GB2312"/>
          <w:kern w:val="0"/>
          <w:sz w:val="32"/>
          <w:szCs w:val="32"/>
          <w:highlight w:val="none"/>
          <w:lang w:val="en-US" w:eastAsia="zh-CN"/>
        </w:rPr>
        <w:t>扶持</w:t>
      </w:r>
      <w:r>
        <w:rPr>
          <w:rFonts w:hint="default" w:ascii="仿宋_GB2312" w:hAnsi="仿宋_GB2312" w:eastAsia="仿宋_GB2312" w:cs="仿宋_GB2312"/>
          <w:kern w:val="0"/>
          <w:sz w:val="32"/>
          <w:szCs w:val="32"/>
          <w:highlight w:val="none"/>
          <w:lang w:eastAsia="zh-CN"/>
        </w:rPr>
        <w:t>，</w:t>
      </w:r>
      <w:r>
        <w:rPr>
          <w:rFonts w:hint="default" w:ascii="仿宋_GB2312" w:hAnsi="仿宋_GB2312" w:eastAsia="仿宋_GB2312" w:cs="仿宋_GB2312"/>
          <w:kern w:val="0"/>
          <w:sz w:val="32"/>
          <w:szCs w:val="32"/>
          <w:highlight w:val="none"/>
          <w:lang w:val="en-US" w:eastAsia="zh-CN"/>
        </w:rPr>
        <w:t>实现国内优质技术快速、便捷出海</w:t>
      </w:r>
      <w:r>
        <w:rPr>
          <w:rFonts w:hint="default" w:ascii="仿宋_GB2312" w:hAnsi="仿宋_GB2312" w:eastAsia="仿宋_GB2312" w:cs="仿宋_GB2312"/>
          <w:kern w:val="0"/>
          <w:sz w:val="32"/>
          <w:szCs w:val="32"/>
          <w:highlight w:val="none"/>
          <w:lang w:eastAsia="zh-CN"/>
        </w:rPr>
        <w:t>。</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仿宋_GB2312" w:hAnsi="仿宋_GB2312" w:eastAsia="仿宋_GB2312" w:cs="仿宋_GB2312"/>
          <w:kern w:val="0"/>
          <w:sz w:val="32"/>
          <w:szCs w:val="32"/>
          <w:highlight w:val="none"/>
          <w:lang w:eastAsia="zh-CN"/>
        </w:rPr>
      </w:pPr>
      <w:r>
        <w:rPr>
          <w:rStyle w:val="21"/>
          <w:rFonts w:hint="default" w:ascii="Times New Roman" w:hAnsi="Times New Roman" w:eastAsia="楷体_GB2312" w:cs="Times New Roman"/>
          <w:b w:val="0"/>
          <w:bCs w:val="0"/>
          <w:sz w:val="32"/>
          <w:szCs w:val="32"/>
          <w:lang w:val="en-US" w:eastAsia="zh-CN" w:bidi="zh-CN"/>
        </w:rPr>
        <w:t>（二）推动技术转移概念验证。</w:t>
      </w:r>
      <w:r>
        <w:rPr>
          <w:rFonts w:hint="default" w:ascii="仿宋_GB2312" w:hAnsi="仿宋_GB2312" w:eastAsia="仿宋_GB2312" w:cs="仿宋_GB2312"/>
          <w:kern w:val="0"/>
          <w:sz w:val="32"/>
          <w:szCs w:val="32"/>
          <w:highlight w:val="none"/>
          <w:lang w:eastAsia="zh-CN"/>
        </w:rPr>
        <w:t>集聚国内科研院所顶级专家，组建</w:t>
      </w:r>
      <w:r>
        <w:rPr>
          <w:rFonts w:hint="default" w:ascii="仿宋_GB2312" w:hAnsi="仿宋_GB2312" w:eastAsia="仿宋_GB2312" w:cs="仿宋_GB2312"/>
          <w:kern w:val="0"/>
          <w:sz w:val="32"/>
          <w:szCs w:val="32"/>
          <w:highlight w:val="none"/>
          <w:lang w:val="en-US" w:eastAsia="zh-CN"/>
        </w:rPr>
        <w:t>面向全球市场的</w:t>
      </w:r>
      <w:r>
        <w:rPr>
          <w:rFonts w:hint="default" w:ascii="仿宋_GB2312" w:hAnsi="仿宋_GB2312" w:eastAsia="仿宋_GB2312" w:cs="仿宋_GB2312"/>
          <w:kern w:val="0"/>
          <w:sz w:val="32"/>
          <w:szCs w:val="32"/>
          <w:highlight w:val="none"/>
          <w:lang w:eastAsia="zh-CN"/>
        </w:rPr>
        <w:t>技术转移概念验证中心，对企业各类技术的概念产品</w:t>
      </w:r>
      <w:r>
        <w:rPr>
          <w:rFonts w:hint="default" w:ascii="仿宋_GB2312" w:hAnsi="仿宋_GB2312" w:eastAsia="仿宋_GB2312" w:cs="仿宋_GB2312"/>
          <w:kern w:val="0"/>
          <w:sz w:val="32"/>
          <w:szCs w:val="32"/>
          <w:highlight w:val="none"/>
          <w:lang w:val="en-US" w:eastAsia="zh-CN"/>
        </w:rPr>
        <w:t>实施</w:t>
      </w:r>
      <w:r>
        <w:rPr>
          <w:rFonts w:hint="default" w:ascii="仿宋_GB2312" w:hAnsi="仿宋_GB2312" w:eastAsia="仿宋_GB2312" w:cs="仿宋_GB2312"/>
          <w:kern w:val="0"/>
          <w:sz w:val="32"/>
          <w:szCs w:val="32"/>
          <w:highlight w:val="none"/>
          <w:lang w:eastAsia="zh-CN"/>
        </w:rPr>
        <w:t>技术可靠性验证、专利成熟度验证，</w:t>
      </w:r>
      <w:r>
        <w:rPr>
          <w:rFonts w:hint="default" w:ascii="仿宋_GB2312" w:hAnsi="仿宋_GB2312" w:eastAsia="仿宋_GB2312" w:cs="仿宋_GB2312"/>
          <w:kern w:val="0"/>
          <w:sz w:val="32"/>
          <w:szCs w:val="32"/>
          <w:highlight w:val="none"/>
          <w:lang w:val="en-US" w:eastAsia="zh-CN"/>
        </w:rPr>
        <w:t>以扩大技术出海的全球通用性；同步开展技术产品的</w:t>
      </w:r>
      <w:r>
        <w:rPr>
          <w:rFonts w:hint="default" w:ascii="仿宋_GB2312" w:hAnsi="仿宋_GB2312" w:eastAsia="仿宋_GB2312" w:cs="仿宋_GB2312"/>
          <w:kern w:val="0"/>
          <w:sz w:val="32"/>
          <w:szCs w:val="32"/>
          <w:highlight w:val="none"/>
          <w:lang w:eastAsia="zh-CN"/>
        </w:rPr>
        <w:t>市场定位、商业策划、资本跟进等</w:t>
      </w:r>
      <w:r>
        <w:rPr>
          <w:rFonts w:hint="default" w:ascii="仿宋_GB2312" w:hAnsi="仿宋_GB2312" w:eastAsia="仿宋_GB2312" w:cs="仿宋_GB2312"/>
          <w:kern w:val="0"/>
          <w:sz w:val="32"/>
          <w:szCs w:val="32"/>
          <w:highlight w:val="none"/>
          <w:lang w:val="en-US" w:eastAsia="zh-CN"/>
        </w:rPr>
        <w:t>衔接工作</w:t>
      </w:r>
      <w:r>
        <w:rPr>
          <w:rFonts w:hint="default" w:ascii="仿宋_GB2312" w:hAnsi="仿宋_GB2312" w:eastAsia="仿宋_GB2312" w:cs="仿宋_GB2312"/>
          <w:kern w:val="0"/>
          <w:sz w:val="32"/>
          <w:szCs w:val="32"/>
          <w:highlight w:val="none"/>
          <w:lang w:eastAsia="zh-CN"/>
        </w:rPr>
        <w:t>，</w:t>
      </w:r>
      <w:r>
        <w:rPr>
          <w:rFonts w:hint="default" w:ascii="仿宋_GB2312" w:hAnsi="仿宋_GB2312" w:eastAsia="仿宋_GB2312" w:cs="仿宋_GB2312"/>
          <w:kern w:val="0"/>
          <w:sz w:val="32"/>
          <w:szCs w:val="32"/>
          <w:highlight w:val="none"/>
          <w:lang w:val="en-US" w:eastAsia="zh-CN"/>
        </w:rPr>
        <w:t>创新</w:t>
      </w:r>
      <w:r>
        <w:rPr>
          <w:rFonts w:hint="default" w:ascii="仿宋_GB2312" w:hAnsi="仿宋_GB2312" w:eastAsia="仿宋_GB2312" w:cs="仿宋_GB2312"/>
          <w:kern w:val="0"/>
          <w:sz w:val="32"/>
          <w:szCs w:val="32"/>
          <w:highlight w:val="none"/>
          <w:lang w:eastAsia="zh-CN"/>
        </w:rPr>
        <w:t>技术经理人全程参与技术转化制度，</w:t>
      </w:r>
      <w:r>
        <w:rPr>
          <w:rFonts w:hint="default" w:ascii="仿宋_GB2312" w:hAnsi="仿宋_GB2312" w:eastAsia="仿宋_GB2312" w:cs="仿宋_GB2312"/>
          <w:kern w:val="0"/>
          <w:sz w:val="32"/>
          <w:szCs w:val="32"/>
          <w:highlight w:val="none"/>
          <w:lang w:val="en-US" w:eastAsia="zh-CN"/>
        </w:rPr>
        <w:t>对标国际标准，持续推动国内技术升级，</w:t>
      </w:r>
      <w:r>
        <w:rPr>
          <w:rFonts w:hint="default" w:ascii="仿宋_GB2312" w:hAnsi="仿宋_GB2312" w:eastAsia="仿宋_GB2312" w:cs="仿宋_GB2312"/>
          <w:kern w:val="0"/>
          <w:sz w:val="32"/>
          <w:szCs w:val="32"/>
          <w:highlight w:val="none"/>
          <w:lang w:eastAsia="zh-CN"/>
        </w:rPr>
        <w:t>加速成果市场化、</w:t>
      </w:r>
      <w:r>
        <w:rPr>
          <w:rFonts w:hint="default" w:ascii="仿宋_GB2312" w:hAnsi="仿宋_GB2312" w:eastAsia="仿宋_GB2312" w:cs="仿宋_GB2312"/>
          <w:kern w:val="0"/>
          <w:sz w:val="32"/>
          <w:szCs w:val="32"/>
          <w:highlight w:val="none"/>
          <w:lang w:val="en-US" w:eastAsia="zh-CN"/>
        </w:rPr>
        <w:t>国际化</w:t>
      </w:r>
      <w:r>
        <w:rPr>
          <w:rFonts w:hint="default" w:ascii="仿宋_GB2312" w:hAnsi="仿宋_GB2312" w:eastAsia="仿宋_GB2312" w:cs="仿宋_GB2312"/>
          <w:kern w:val="0"/>
          <w:sz w:val="32"/>
          <w:szCs w:val="32"/>
          <w:highlight w:val="none"/>
          <w:lang w:eastAsia="zh-CN"/>
        </w:rPr>
        <w:t>。</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仿宋_GB2312" w:hAnsi="仿宋_GB2312" w:eastAsia="仿宋_GB2312" w:cs="仿宋_GB2312"/>
          <w:kern w:val="0"/>
          <w:sz w:val="32"/>
          <w:szCs w:val="32"/>
          <w:highlight w:val="none"/>
          <w:lang w:eastAsia="zh-CN"/>
        </w:rPr>
      </w:pPr>
      <w:r>
        <w:rPr>
          <w:rStyle w:val="21"/>
          <w:rFonts w:hint="default" w:ascii="Times New Roman" w:hAnsi="Times New Roman" w:eastAsia="楷体_GB2312" w:cs="Times New Roman"/>
          <w:b w:val="0"/>
          <w:bCs w:val="0"/>
          <w:sz w:val="32"/>
          <w:szCs w:val="32"/>
          <w:lang w:val="en-US" w:eastAsia="zh-CN" w:bidi="zh-CN"/>
        </w:rPr>
        <w:t>（三）探索技术出海服务体系。</w:t>
      </w:r>
      <w:r>
        <w:rPr>
          <w:rFonts w:hint="default" w:ascii="仿宋_GB2312" w:hAnsi="仿宋_GB2312" w:eastAsia="仿宋_GB2312" w:cs="仿宋_GB2312"/>
          <w:kern w:val="0"/>
          <w:sz w:val="32"/>
          <w:szCs w:val="32"/>
          <w:highlight w:val="none"/>
          <w:lang w:eastAsia="zh-CN"/>
        </w:rPr>
        <w:t>在全球</w:t>
      </w:r>
      <w:r>
        <w:rPr>
          <w:rFonts w:hint="default" w:ascii="仿宋_GB2312" w:hAnsi="仿宋_GB2312" w:eastAsia="仿宋_GB2312" w:cs="仿宋_GB2312"/>
          <w:kern w:val="0"/>
          <w:sz w:val="32"/>
          <w:szCs w:val="32"/>
          <w:highlight w:val="none"/>
          <w:lang w:val="en-US" w:eastAsia="zh-CN"/>
        </w:rPr>
        <w:t>主要国家</w:t>
      </w:r>
      <w:r>
        <w:rPr>
          <w:rFonts w:hint="default" w:ascii="仿宋_GB2312" w:hAnsi="仿宋_GB2312" w:eastAsia="仿宋_GB2312" w:cs="仿宋_GB2312"/>
          <w:kern w:val="0"/>
          <w:sz w:val="32"/>
          <w:szCs w:val="32"/>
          <w:highlight w:val="none"/>
          <w:lang w:eastAsia="zh-CN"/>
        </w:rPr>
        <w:t>设立8个离岸创新中心、4个海外科技服务站、5个海外研发中心，</w:t>
      </w:r>
      <w:r>
        <w:rPr>
          <w:rFonts w:hint="default" w:ascii="仿宋_GB2312" w:hAnsi="仿宋_GB2312" w:eastAsia="仿宋_GB2312" w:cs="仿宋_GB2312"/>
          <w:kern w:val="0"/>
          <w:sz w:val="32"/>
          <w:szCs w:val="32"/>
          <w:highlight w:val="none"/>
          <w:lang w:val="en-US" w:eastAsia="zh-CN"/>
        </w:rPr>
        <w:t>构建联动全球的技术推广网络；</w:t>
      </w:r>
      <w:r>
        <w:rPr>
          <w:rFonts w:hint="default" w:ascii="仿宋_GB2312" w:hAnsi="仿宋_GB2312" w:eastAsia="仿宋_GB2312" w:cs="仿宋_GB2312"/>
          <w:kern w:val="0"/>
          <w:sz w:val="32"/>
          <w:szCs w:val="32"/>
          <w:highlight w:val="none"/>
          <w:lang w:eastAsia="zh-CN"/>
        </w:rPr>
        <w:t>搭建涵盖</w:t>
      </w:r>
      <w:r>
        <w:rPr>
          <w:rFonts w:hint="default" w:ascii="仿宋_GB2312" w:hAnsi="仿宋_GB2312" w:eastAsia="仿宋_GB2312" w:cs="仿宋_GB2312"/>
          <w:kern w:val="0"/>
          <w:sz w:val="32"/>
          <w:szCs w:val="32"/>
          <w:highlight w:val="none"/>
          <w:lang w:val="en-US" w:eastAsia="zh-CN"/>
        </w:rPr>
        <w:t>技术</w:t>
      </w:r>
      <w:r>
        <w:rPr>
          <w:rFonts w:hint="default" w:ascii="仿宋_GB2312" w:hAnsi="仿宋_GB2312" w:eastAsia="仿宋_GB2312" w:cs="仿宋_GB2312"/>
          <w:kern w:val="0"/>
          <w:sz w:val="32"/>
          <w:szCs w:val="32"/>
          <w:highlight w:val="none"/>
          <w:lang w:eastAsia="zh-CN"/>
        </w:rPr>
        <w:t>咨询、知识产权、资本投资、法律咨询、托管、转化、交易、输出、</w:t>
      </w:r>
      <w:r>
        <w:rPr>
          <w:rFonts w:hint="default" w:ascii="仿宋_GB2312" w:hAnsi="仿宋_GB2312" w:eastAsia="仿宋_GB2312" w:cs="仿宋_GB2312"/>
          <w:kern w:val="0"/>
          <w:sz w:val="32"/>
          <w:szCs w:val="32"/>
          <w:highlight w:val="none"/>
          <w:lang w:val="en-US" w:eastAsia="zh-CN"/>
        </w:rPr>
        <w:t>跨国合作</w:t>
      </w:r>
      <w:r>
        <w:rPr>
          <w:rFonts w:hint="default" w:ascii="仿宋_GB2312" w:hAnsi="仿宋_GB2312" w:eastAsia="仿宋_GB2312" w:cs="仿宋_GB2312"/>
          <w:kern w:val="0"/>
          <w:sz w:val="32"/>
          <w:szCs w:val="32"/>
          <w:highlight w:val="none"/>
          <w:lang w:eastAsia="zh-CN"/>
        </w:rPr>
        <w:t>等为一体的技术贸易服务体系，</w:t>
      </w:r>
      <w:r>
        <w:rPr>
          <w:rFonts w:hint="default" w:ascii="仿宋_GB2312" w:hAnsi="仿宋_GB2312" w:eastAsia="仿宋_GB2312" w:cs="仿宋_GB2312"/>
          <w:kern w:val="0"/>
          <w:sz w:val="32"/>
          <w:szCs w:val="32"/>
          <w:highlight w:val="none"/>
          <w:lang w:val="en-US" w:eastAsia="zh-CN"/>
        </w:rPr>
        <w:t>有效减少国际技术贸易成本；</w:t>
      </w:r>
      <w:r>
        <w:rPr>
          <w:rFonts w:hint="default" w:ascii="仿宋_GB2312" w:hAnsi="仿宋_GB2312" w:eastAsia="仿宋_GB2312" w:cs="仿宋_GB2312"/>
          <w:kern w:val="0"/>
          <w:sz w:val="32"/>
          <w:szCs w:val="32"/>
          <w:highlight w:val="none"/>
          <w:lang w:eastAsia="zh-CN"/>
        </w:rPr>
        <w:t>开展国内技术与国际标准的衔接融合，探索国内知识产权在境外的合法通用，确保出口技术符合国际标准，强化中国标准的海外推广，重点支持国内标准在“一带一路”沿线国家的使用。</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二、实践效果</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仿宋_GB2312" w:hAnsi="仿宋_GB2312" w:eastAsia="仿宋_GB2312" w:cs="仿宋_GB2312"/>
          <w:kern w:val="0"/>
          <w:sz w:val="32"/>
          <w:szCs w:val="32"/>
          <w:highlight w:val="none"/>
          <w:lang w:eastAsia="zh-CN"/>
        </w:rPr>
      </w:pPr>
      <w:r>
        <w:rPr>
          <w:rFonts w:hint="default" w:ascii="仿宋_GB2312" w:hAnsi="仿宋_GB2312" w:eastAsia="仿宋_GB2312" w:cs="仿宋_GB2312"/>
          <w:kern w:val="0"/>
          <w:sz w:val="32"/>
          <w:szCs w:val="32"/>
          <w:highlight w:val="none"/>
          <w:lang w:val="en-US" w:eastAsia="zh-CN"/>
        </w:rPr>
        <w:t>截止目前</w:t>
      </w:r>
      <w:r>
        <w:rPr>
          <w:rFonts w:hint="default" w:ascii="仿宋_GB2312" w:hAnsi="仿宋_GB2312" w:eastAsia="仿宋_GB2312" w:cs="仿宋_GB2312"/>
          <w:kern w:val="0"/>
          <w:sz w:val="32"/>
          <w:szCs w:val="32"/>
          <w:highlight w:val="none"/>
          <w:lang w:eastAsia="zh-CN"/>
        </w:rPr>
        <w:t>，</w:t>
      </w:r>
      <w:r>
        <w:rPr>
          <w:rFonts w:hint="default" w:ascii="仿宋_GB2312" w:hAnsi="仿宋_GB2312" w:eastAsia="仿宋_GB2312" w:cs="仿宋_GB2312"/>
          <w:kern w:val="0"/>
          <w:sz w:val="32"/>
          <w:szCs w:val="32"/>
          <w:highlight w:val="none"/>
          <w:lang w:val="en-US" w:eastAsia="zh-CN"/>
        </w:rPr>
        <w:t>全球技术服务</w:t>
      </w:r>
      <w:r>
        <w:rPr>
          <w:rFonts w:hint="default" w:ascii="仿宋_GB2312" w:hAnsi="仿宋_GB2312" w:eastAsia="仿宋_GB2312" w:cs="仿宋_GB2312"/>
          <w:kern w:val="0"/>
          <w:sz w:val="32"/>
          <w:szCs w:val="32"/>
          <w:highlight w:val="none"/>
          <w:lang w:eastAsia="zh-CN"/>
        </w:rPr>
        <w:t>平台已归集全国</w:t>
      </w:r>
      <w:r>
        <w:rPr>
          <w:rFonts w:hint="default" w:ascii="仿宋_GB2312" w:hAnsi="仿宋_GB2312" w:eastAsia="仿宋_GB2312" w:cs="仿宋_GB2312"/>
          <w:kern w:val="0"/>
          <w:sz w:val="32"/>
          <w:szCs w:val="32"/>
          <w:highlight w:val="none"/>
          <w:lang w:val="en-US" w:eastAsia="zh-CN"/>
        </w:rPr>
        <w:t>9316</w:t>
      </w:r>
      <w:r>
        <w:rPr>
          <w:rFonts w:hint="default" w:ascii="仿宋_GB2312" w:hAnsi="仿宋_GB2312" w:eastAsia="仿宋_GB2312" w:cs="仿宋_GB2312"/>
          <w:kern w:val="0"/>
          <w:sz w:val="32"/>
          <w:szCs w:val="32"/>
          <w:highlight w:val="none"/>
          <w:lang w:eastAsia="zh-CN"/>
        </w:rPr>
        <w:t>家高校和企业的技术成果</w:t>
      </w:r>
      <w:r>
        <w:rPr>
          <w:rFonts w:hint="default" w:ascii="仿宋_GB2312" w:hAnsi="仿宋_GB2312" w:eastAsia="仿宋_GB2312" w:cs="仿宋_GB2312"/>
          <w:kern w:val="0"/>
          <w:sz w:val="32"/>
          <w:szCs w:val="32"/>
          <w:highlight w:val="none"/>
          <w:lang w:val="en-US" w:eastAsia="zh-CN"/>
        </w:rPr>
        <w:t>144375</w:t>
      </w:r>
      <w:r>
        <w:rPr>
          <w:rFonts w:hint="default" w:ascii="仿宋_GB2312" w:hAnsi="仿宋_GB2312" w:eastAsia="仿宋_GB2312" w:cs="仿宋_GB2312"/>
          <w:kern w:val="0"/>
          <w:sz w:val="32"/>
          <w:szCs w:val="32"/>
          <w:highlight w:val="none"/>
          <w:lang w:eastAsia="zh-CN"/>
        </w:rPr>
        <w:t>项，行业专家</w:t>
      </w:r>
      <w:r>
        <w:rPr>
          <w:rFonts w:hint="default" w:ascii="仿宋_GB2312" w:hAnsi="仿宋_GB2312" w:eastAsia="仿宋_GB2312" w:cs="仿宋_GB2312"/>
          <w:kern w:val="0"/>
          <w:sz w:val="32"/>
          <w:szCs w:val="32"/>
          <w:highlight w:val="none"/>
          <w:lang w:val="en-US" w:eastAsia="zh-CN"/>
        </w:rPr>
        <w:t>21093</w:t>
      </w:r>
      <w:r>
        <w:rPr>
          <w:rFonts w:hint="default" w:ascii="仿宋_GB2312" w:hAnsi="仿宋_GB2312" w:eastAsia="仿宋_GB2312" w:cs="仿宋_GB2312"/>
          <w:kern w:val="0"/>
          <w:sz w:val="32"/>
          <w:szCs w:val="32"/>
          <w:highlight w:val="none"/>
          <w:lang w:eastAsia="zh-CN"/>
        </w:rPr>
        <w:t>名，入库仪器设备</w:t>
      </w:r>
      <w:r>
        <w:rPr>
          <w:rFonts w:hint="default" w:ascii="仿宋_GB2312" w:hAnsi="仿宋_GB2312" w:eastAsia="仿宋_GB2312" w:cs="仿宋_GB2312"/>
          <w:kern w:val="0"/>
          <w:sz w:val="32"/>
          <w:szCs w:val="32"/>
          <w:highlight w:val="none"/>
          <w:lang w:val="en-US" w:eastAsia="zh-CN"/>
        </w:rPr>
        <w:t>19562</w:t>
      </w:r>
      <w:r>
        <w:rPr>
          <w:rFonts w:hint="default" w:ascii="仿宋_GB2312" w:hAnsi="仿宋_GB2312" w:eastAsia="仿宋_GB2312" w:cs="仿宋_GB2312"/>
          <w:kern w:val="0"/>
          <w:sz w:val="32"/>
          <w:szCs w:val="32"/>
          <w:highlight w:val="none"/>
          <w:lang w:eastAsia="zh-CN"/>
        </w:rPr>
        <w:t>台/套，举办各类技术输出交流活动</w:t>
      </w:r>
      <w:r>
        <w:rPr>
          <w:rFonts w:hint="default" w:ascii="仿宋_GB2312" w:hAnsi="仿宋_GB2312" w:eastAsia="仿宋_GB2312" w:cs="仿宋_GB2312"/>
          <w:kern w:val="0"/>
          <w:sz w:val="32"/>
          <w:szCs w:val="32"/>
          <w:highlight w:val="none"/>
          <w:lang w:val="en-US" w:eastAsia="zh-CN"/>
        </w:rPr>
        <w:t>1829</w:t>
      </w:r>
      <w:r>
        <w:rPr>
          <w:rFonts w:hint="default" w:ascii="仿宋_GB2312" w:hAnsi="仿宋_GB2312" w:eastAsia="仿宋_GB2312" w:cs="仿宋_GB2312"/>
          <w:kern w:val="0"/>
          <w:sz w:val="32"/>
          <w:szCs w:val="32"/>
          <w:highlight w:val="none"/>
          <w:lang w:eastAsia="zh-CN"/>
        </w:rPr>
        <w:t>场次，向海外出口技术</w:t>
      </w:r>
      <w:r>
        <w:rPr>
          <w:rFonts w:hint="default" w:ascii="仿宋_GB2312" w:hAnsi="仿宋_GB2312" w:eastAsia="仿宋_GB2312" w:cs="仿宋_GB2312"/>
          <w:kern w:val="0"/>
          <w:sz w:val="32"/>
          <w:szCs w:val="32"/>
          <w:highlight w:val="none"/>
          <w:lang w:val="en-US" w:eastAsia="zh-CN"/>
        </w:rPr>
        <w:t>3</w:t>
      </w:r>
      <w:r>
        <w:rPr>
          <w:rFonts w:hint="default" w:ascii="仿宋_GB2312" w:hAnsi="仿宋_GB2312" w:eastAsia="仿宋_GB2312" w:cs="仿宋_GB2312"/>
          <w:kern w:val="0"/>
          <w:sz w:val="32"/>
          <w:szCs w:val="32"/>
          <w:highlight w:val="none"/>
          <w:lang w:eastAsia="zh-CN"/>
        </w:rPr>
        <w:t>000余项，</w:t>
      </w:r>
      <w:r>
        <w:rPr>
          <w:rFonts w:hint="default" w:ascii="仿宋_GB2312" w:hAnsi="仿宋_GB2312" w:eastAsia="仿宋_GB2312" w:cs="仿宋_GB2312"/>
          <w:kern w:val="0"/>
          <w:sz w:val="32"/>
          <w:szCs w:val="32"/>
          <w:highlight w:val="none"/>
          <w:lang w:val="en-US" w:eastAsia="zh-CN"/>
        </w:rPr>
        <w:t>技术贸易出口额56.04亿美元，</w:t>
      </w:r>
      <w:r>
        <w:rPr>
          <w:rFonts w:hint="default" w:ascii="仿宋_GB2312" w:hAnsi="仿宋_GB2312" w:eastAsia="仿宋_GB2312" w:cs="仿宋_GB2312"/>
          <w:kern w:val="0"/>
          <w:sz w:val="32"/>
          <w:szCs w:val="32"/>
          <w:highlight w:val="none"/>
          <w:lang w:eastAsia="zh-CN"/>
        </w:rPr>
        <w:t>满足了“一带一路”沿线部分国家对国内技术的需求，</w:t>
      </w:r>
      <w:r>
        <w:rPr>
          <w:rFonts w:hint="default" w:ascii="仿宋_GB2312" w:hAnsi="仿宋_GB2312" w:eastAsia="仿宋_GB2312" w:cs="仿宋_GB2312"/>
          <w:kern w:val="0"/>
          <w:sz w:val="32"/>
          <w:szCs w:val="32"/>
          <w:highlight w:val="none"/>
          <w:lang w:val="en-US" w:eastAsia="zh-CN"/>
        </w:rPr>
        <w:t>推动西安高新区成为我国</w:t>
      </w:r>
      <w:r>
        <w:rPr>
          <w:rFonts w:hint="default" w:ascii="仿宋_GB2312" w:hAnsi="仿宋_GB2312" w:eastAsia="仿宋_GB2312" w:cs="仿宋_GB2312"/>
          <w:kern w:val="0"/>
          <w:sz w:val="32"/>
          <w:szCs w:val="32"/>
          <w:highlight w:val="none"/>
          <w:lang w:eastAsia="zh-CN"/>
        </w:rPr>
        <w:t>西部</w:t>
      </w:r>
      <w:r>
        <w:rPr>
          <w:rFonts w:hint="default" w:ascii="仿宋_GB2312" w:hAnsi="仿宋_GB2312" w:eastAsia="仿宋_GB2312" w:cs="仿宋_GB2312"/>
          <w:kern w:val="0"/>
          <w:sz w:val="32"/>
          <w:szCs w:val="32"/>
          <w:highlight w:val="none"/>
          <w:lang w:val="en-US" w:eastAsia="zh-CN"/>
        </w:rPr>
        <w:t>重要的技术</w:t>
      </w:r>
      <w:r>
        <w:rPr>
          <w:rFonts w:hint="default" w:ascii="仿宋_GB2312" w:hAnsi="仿宋_GB2312" w:eastAsia="仿宋_GB2312" w:cs="仿宋_GB2312"/>
          <w:kern w:val="0"/>
          <w:sz w:val="32"/>
          <w:szCs w:val="32"/>
          <w:highlight w:val="none"/>
          <w:lang w:eastAsia="zh-CN"/>
        </w:rPr>
        <w:t>出口基地</w:t>
      </w:r>
      <w:r>
        <w:rPr>
          <w:rFonts w:hint="default" w:ascii="仿宋_GB2312" w:hAnsi="仿宋_GB2312" w:eastAsia="仿宋_GB2312" w:cs="仿宋_GB2312"/>
          <w:kern w:val="0"/>
          <w:sz w:val="32"/>
          <w:szCs w:val="32"/>
          <w:highlight w:val="none"/>
          <w:lang w:val="en-US" w:eastAsia="zh-CN"/>
        </w:rPr>
        <w:t>之一</w:t>
      </w:r>
      <w:r>
        <w:rPr>
          <w:rFonts w:hint="default" w:ascii="仿宋_GB2312" w:hAnsi="仿宋_GB2312" w:eastAsia="仿宋_GB2312" w:cs="仿宋_GB2312"/>
          <w:kern w:val="0"/>
          <w:sz w:val="32"/>
          <w:szCs w:val="32"/>
          <w:highlight w:val="none"/>
          <w:lang w:eastAsia="zh-CN"/>
        </w:rPr>
        <w:t>。</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三、下一</w:t>
      </w:r>
      <w:r>
        <w:rPr>
          <w:rStyle w:val="21"/>
          <w:rFonts w:hint="default" w:ascii="Times New Roman" w:hAnsi="Times New Roman" w:eastAsia="黑体" w:cs="Times New Roman"/>
          <w:sz w:val="32"/>
          <w:szCs w:val="32"/>
          <w:lang w:val="en-US" w:eastAsia="zh-CN"/>
        </w:rPr>
        <w:t>步</w:t>
      </w:r>
      <w:r>
        <w:rPr>
          <w:rStyle w:val="21"/>
          <w:rFonts w:hint="default" w:ascii="Times New Roman" w:hAnsi="Times New Roman" w:eastAsia="黑体" w:cs="Times New Roman"/>
          <w:sz w:val="32"/>
          <w:szCs w:val="32"/>
          <w:lang w:eastAsia="zh-CN"/>
        </w:rPr>
        <w:t>工作思路</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仿宋_GB2312" w:hAnsi="仿宋_GB2312" w:eastAsia="仿宋_GB2312" w:cs="仿宋_GB2312"/>
          <w:kern w:val="0"/>
          <w:sz w:val="32"/>
          <w:szCs w:val="32"/>
          <w:highlight w:val="none"/>
          <w:lang w:eastAsia="zh-CN"/>
        </w:rPr>
      </w:pPr>
      <w:r>
        <w:rPr>
          <w:rFonts w:hint="default" w:ascii="仿宋_GB2312" w:hAnsi="仿宋_GB2312" w:eastAsia="仿宋_GB2312" w:cs="仿宋_GB2312"/>
          <w:kern w:val="0"/>
          <w:sz w:val="32"/>
          <w:szCs w:val="32"/>
          <w:highlight w:val="none"/>
          <w:lang w:val="en-US" w:eastAsia="zh-CN"/>
        </w:rPr>
        <w:t>下一步，陕西自贸试验区西安高新区功能区将结合国家战略需求，持续拓展国际技术贸易的发展模式与路径，</w:t>
      </w:r>
      <w:r>
        <w:rPr>
          <w:rFonts w:hint="default" w:ascii="仿宋_GB2312" w:hAnsi="仿宋_GB2312" w:eastAsia="仿宋_GB2312" w:cs="仿宋_GB2312"/>
          <w:kern w:val="0"/>
          <w:sz w:val="32"/>
          <w:szCs w:val="32"/>
          <w:highlight w:val="none"/>
          <w:lang w:eastAsia="zh-CN"/>
        </w:rPr>
        <w:t>依托</w:t>
      </w:r>
      <w:r>
        <w:rPr>
          <w:rFonts w:hint="default" w:ascii="仿宋_GB2312" w:hAnsi="仿宋_GB2312" w:eastAsia="仿宋_GB2312" w:cs="仿宋_GB2312"/>
          <w:kern w:val="0"/>
          <w:sz w:val="32"/>
          <w:szCs w:val="32"/>
          <w:highlight w:val="none"/>
          <w:lang w:val="en-US" w:eastAsia="zh-CN"/>
        </w:rPr>
        <w:t>重点技术贸易平台和载体，不断</w:t>
      </w:r>
      <w:r>
        <w:rPr>
          <w:rFonts w:hint="default" w:ascii="仿宋_GB2312" w:hAnsi="仿宋_GB2312" w:eastAsia="仿宋_GB2312" w:cs="仿宋_GB2312"/>
          <w:kern w:val="0"/>
          <w:sz w:val="32"/>
          <w:szCs w:val="32"/>
          <w:highlight w:val="none"/>
          <w:lang w:eastAsia="zh-CN"/>
        </w:rPr>
        <w:t>优化技术贸易</w:t>
      </w:r>
      <w:r>
        <w:rPr>
          <w:rFonts w:hint="default" w:ascii="仿宋_GB2312" w:hAnsi="仿宋_GB2312" w:eastAsia="仿宋_GB2312" w:cs="仿宋_GB2312"/>
          <w:kern w:val="0"/>
          <w:sz w:val="32"/>
          <w:szCs w:val="32"/>
          <w:highlight w:val="none"/>
          <w:lang w:val="en-US" w:eastAsia="zh-CN"/>
        </w:rPr>
        <w:t>服务体系</w:t>
      </w:r>
      <w:r>
        <w:rPr>
          <w:rFonts w:hint="default" w:ascii="仿宋_GB2312" w:hAnsi="仿宋_GB2312" w:eastAsia="仿宋_GB2312" w:cs="仿宋_GB2312"/>
          <w:kern w:val="0"/>
          <w:sz w:val="32"/>
          <w:szCs w:val="32"/>
          <w:highlight w:val="none"/>
          <w:lang w:eastAsia="zh-CN"/>
        </w:rPr>
        <w:t>，</w:t>
      </w:r>
      <w:r>
        <w:rPr>
          <w:rFonts w:hint="default" w:ascii="仿宋_GB2312" w:hAnsi="仿宋_GB2312" w:eastAsia="仿宋_GB2312" w:cs="仿宋_GB2312"/>
          <w:kern w:val="0"/>
          <w:sz w:val="32"/>
          <w:szCs w:val="32"/>
          <w:highlight w:val="none"/>
          <w:lang w:val="en-US" w:eastAsia="zh-CN"/>
        </w:rPr>
        <w:t>助力我国技术贸易体量和质量不断提升</w:t>
      </w:r>
      <w:r>
        <w:rPr>
          <w:rFonts w:hint="default" w:ascii="仿宋_GB2312" w:hAnsi="仿宋_GB2312" w:eastAsia="仿宋_GB2312" w:cs="仿宋_GB2312"/>
          <w:kern w:val="0"/>
          <w:sz w:val="32"/>
          <w:szCs w:val="32"/>
          <w:highlight w:val="none"/>
          <w:lang w:eastAsia="zh-CN"/>
        </w:rPr>
        <w:t>。</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right"/>
        <w:textAlignment w:val="auto"/>
        <w:rPr>
          <w:rFonts w:hint="default" w:ascii="Times New Roman" w:hAnsi="Times New Roman" w:cs="Times New Roman"/>
          <w:sz w:val="32"/>
          <w:szCs w:val="32"/>
          <w:lang w:val="en-US" w:eastAsia="zh-CN"/>
        </w:rPr>
      </w:pPr>
      <w:r>
        <w:rPr>
          <w:rFonts w:hint="default" w:ascii="仿宋_GB2312" w:hAnsi="仿宋_GB2312" w:eastAsia="仿宋_GB2312" w:cs="仿宋_GB2312"/>
          <w:kern w:val="0"/>
          <w:sz w:val="32"/>
          <w:szCs w:val="32"/>
          <w:highlight w:val="none"/>
          <w:lang w:eastAsia="zh-CN"/>
        </w:rPr>
        <w:t>（陕西自贸试验区西安高新区功能区提供）</w:t>
      </w: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案例13</w:t>
      </w:r>
    </w:p>
    <w:p>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default" w:ascii="Times New Roman" w:hAnsi="Times New Roman" w:eastAsia="仿宋_GB2312"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default" w:ascii="Times New Roman" w:hAnsi="Times New Roman" w:eastAsia="方正小标宋简体" w:cs="Times New Roman"/>
          <w:b w:val="0"/>
          <w:bCs w:val="0"/>
          <w:color w:val="auto"/>
          <w:spacing w:val="0"/>
          <w:sz w:val="44"/>
          <w:szCs w:val="44"/>
          <w:lang w:val="en-US" w:eastAsia="zh-CN"/>
        </w:rPr>
        <w:t>区域医学检验中心</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楷体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陕西自贸试验区沣东新城功能区按照推动医疗领域加大开放力度的要求，紧抓后疫情时代医学检验集约化、规模化发展机遇，打造西安区域医学检验中心，实现了检验结果的跨机构互认互通，知识产权的跨国引入、本土化再创造和检验技术、试剂、服务的一体化输出，有效提升了区域医学检验服务能力和国际化水平。</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一、主要做法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（一）构建区域医学检验生态圈。</w:t>
      </w:r>
      <w:r>
        <w:rPr>
          <w:rFonts w:hint="default" w:ascii="Times New Roman" w:hAnsi="Times New Roman" w:eastAsia="仿宋_GB2312" w:cs="Times New Roman"/>
          <w:sz w:val="32"/>
          <w:szCs w:val="32"/>
          <w:lang w:val="en-US" w:eastAsia="zh-CN"/>
        </w:rPr>
        <w:t>建设区域医学检验中心，联动医疗机构及行业头部企业，构建面向全域、三级联动的医学检验生态圈。以一级区域医学检验中心为核心，联动二级市属医院检验科和三级社区卫生服务中心，统筹管理，集约化展开医学检验项目。率先实现检验服务系统化，检验报告标准化，检验结果跨区域、跨医疗机构互认互通，弥补基层医疗</w:t>
      </w:r>
      <w:r>
        <w:rPr>
          <w:rFonts w:hint="default" w:ascii="Times New Roman" w:hAnsi="Times New Roman" w:eastAsia="仿宋_GB2312" w:cs="Times New Roman"/>
          <w:sz w:val="32"/>
          <w:szCs w:val="32"/>
        </w:rPr>
        <w:t>机</w:t>
      </w:r>
      <w:r>
        <w:rPr>
          <w:rFonts w:hint="default" w:ascii="Times New Roman" w:hAnsi="Times New Roman" w:eastAsia="仿宋_GB2312" w:cs="Times New Roman"/>
          <w:sz w:val="32"/>
          <w:szCs w:val="32"/>
          <w:lang w:val="en-US" w:eastAsia="zh-CN"/>
        </w:rPr>
        <w:t>构检验能力短板，扩展医疗服务普惠能力。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（二）创新区域医学检验管理模式。</w:t>
      </w:r>
      <w:r>
        <w:rPr>
          <w:rFonts w:hint="default" w:ascii="Times New Roman" w:hAnsi="Times New Roman" w:eastAsia="仿宋_GB2312" w:cs="Times New Roman"/>
          <w:sz w:val="32"/>
          <w:szCs w:val="32"/>
          <w:lang w:val="en-US" w:eastAsia="zh-CN"/>
        </w:rPr>
        <w:t>依托区域医学检验中心，建成数字化、可视化、智能化的医学检验全流程质量管理平台，对各级医疗检验网点实施24小时实时在线监测，对检验样本运输过程实施全流程监控，同时引入临床专家巡检制度，确保检验过程透明规范，检验结果安全可靠。质量管理平台还为各级医疗检验机构提供包括检验实验室标准化改造、检验试剂及检测仪器设备集中采购、人员培训、医学检验服务外包等全方位的技术指导和管理服务，有效提升医疗机构检验实验室标准化建设水平，降低实验室运行成本。</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pacing w:val="-4"/>
          <w:sz w:val="32"/>
          <w:szCs w:val="32"/>
        </w:rPr>
      </w:pPr>
      <w:r>
        <w:rPr>
          <w:rStyle w:val="21"/>
          <w:rFonts w:hint="default" w:ascii="Times New Roman" w:hAnsi="Times New Roman" w:eastAsia="楷体_GB2312" w:cs="Times New Roman"/>
          <w:b w:val="0"/>
          <w:bCs w:val="0"/>
          <w:sz w:val="32"/>
          <w:szCs w:val="32"/>
          <w:lang w:val="en-US" w:eastAsia="zh-CN" w:bidi="zh-CN"/>
        </w:rPr>
        <w:t>（三）创新医学检验国际合作模式。</w:t>
      </w:r>
      <w:bookmarkStart w:id="5" w:name="_Hlk76368046"/>
      <w:r>
        <w:rPr>
          <w:rFonts w:hint="default" w:ascii="Times New Roman" w:hAnsi="Times New Roman" w:eastAsia="仿宋_GB2312" w:cs="Times New Roman"/>
          <w:b/>
          <w:bCs/>
          <w:spacing w:val="-4"/>
          <w:sz w:val="32"/>
          <w:szCs w:val="32"/>
          <w:lang w:val="en-US" w:eastAsia="zh-CN"/>
        </w:rPr>
        <w:t>一是</w:t>
      </w:r>
      <w:r>
        <w:rPr>
          <w:rFonts w:hint="default" w:ascii="Times New Roman" w:hAnsi="Times New Roman" w:eastAsia="仿宋_GB2312" w:cs="Times New Roman"/>
          <w:spacing w:val="-4"/>
          <w:sz w:val="32"/>
          <w:szCs w:val="32"/>
          <w:lang w:val="en-US" w:eastAsia="zh-CN"/>
        </w:rPr>
        <w:t>通过与国际知名机构及专家团队联合研发、引入国际先进医学检验仪器设备、</w:t>
      </w:r>
      <w:r>
        <w:rPr>
          <w:rFonts w:hint="default" w:ascii="Times New Roman" w:hAnsi="Times New Roman" w:eastAsia="仿宋_GB2312" w:cs="Times New Roman"/>
          <w:spacing w:val="-4"/>
          <w:sz w:val="32"/>
          <w:szCs w:val="32"/>
        </w:rPr>
        <w:t>知识产权的跨国使用</w:t>
      </w:r>
      <w:r>
        <w:rPr>
          <w:rFonts w:hint="default" w:ascii="Times New Roman" w:hAnsi="Times New Roman" w:eastAsia="仿宋_GB2312" w:cs="Times New Roman"/>
          <w:spacing w:val="-4"/>
          <w:sz w:val="32"/>
          <w:szCs w:val="32"/>
          <w:lang w:val="en-US" w:eastAsia="zh-CN"/>
        </w:rPr>
        <w:t>和本土化再创新等方式，不断提升区域医学检验水平。</w:t>
      </w:r>
      <w:r>
        <w:rPr>
          <w:rFonts w:hint="default" w:ascii="Times New Roman" w:hAnsi="Times New Roman" w:eastAsia="仿宋_GB2312" w:cs="Times New Roman"/>
          <w:b/>
          <w:bCs/>
          <w:spacing w:val="-4"/>
          <w:sz w:val="32"/>
          <w:szCs w:val="32"/>
          <w:lang w:val="en-US" w:eastAsia="zh-CN"/>
        </w:rPr>
        <w:t>二是</w:t>
      </w:r>
      <w:r>
        <w:rPr>
          <w:rFonts w:hint="default" w:ascii="Times New Roman" w:hAnsi="Times New Roman" w:eastAsia="仿宋_GB2312" w:cs="Times New Roman"/>
          <w:spacing w:val="-4"/>
          <w:sz w:val="32"/>
          <w:szCs w:val="32"/>
          <w:lang w:val="en-US" w:eastAsia="zh-CN"/>
        </w:rPr>
        <w:t>通过共建医学</w:t>
      </w:r>
      <w:r>
        <w:rPr>
          <w:rFonts w:hint="default" w:ascii="Times New Roman" w:hAnsi="Times New Roman" w:eastAsia="仿宋_GB2312" w:cs="Times New Roman"/>
          <w:spacing w:val="-4"/>
          <w:sz w:val="32"/>
          <w:szCs w:val="32"/>
        </w:rPr>
        <w:t>实验室、开展检验人员远程培训、输出试剂和</w:t>
      </w:r>
      <w:r>
        <w:rPr>
          <w:rFonts w:hint="default" w:ascii="Times New Roman" w:hAnsi="Times New Roman" w:eastAsia="仿宋_GB2312" w:cs="Times New Roman"/>
          <w:spacing w:val="-4"/>
          <w:sz w:val="32"/>
          <w:szCs w:val="32"/>
          <w:lang w:val="en-US" w:eastAsia="zh-CN"/>
        </w:rPr>
        <w:t>检验</w:t>
      </w:r>
      <w:r>
        <w:rPr>
          <w:rFonts w:hint="default" w:ascii="Times New Roman" w:hAnsi="Times New Roman" w:eastAsia="仿宋_GB2312" w:cs="Times New Roman"/>
          <w:spacing w:val="-4"/>
          <w:sz w:val="32"/>
          <w:szCs w:val="32"/>
        </w:rPr>
        <w:t>技术等方式，</w:t>
      </w:r>
      <w:r>
        <w:rPr>
          <w:rFonts w:hint="default" w:ascii="Times New Roman" w:hAnsi="Times New Roman" w:eastAsia="仿宋_GB2312" w:cs="Times New Roman"/>
          <w:spacing w:val="-4"/>
          <w:sz w:val="32"/>
          <w:szCs w:val="32"/>
          <w:lang w:val="en-US" w:eastAsia="zh-CN"/>
        </w:rPr>
        <w:t>不断拓展海外市场，提升中心国际影响力</w:t>
      </w:r>
      <w:r>
        <w:rPr>
          <w:rFonts w:hint="default" w:ascii="Times New Roman" w:hAnsi="Times New Roman" w:eastAsia="仿宋_GB2312" w:cs="Times New Roman"/>
          <w:b w:val="0"/>
          <w:bCs w:val="0"/>
          <w:spacing w:val="-4"/>
          <w:sz w:val="32"/>
          <w:szCs w:val="32"/>
          <w:lang w:val="en-US" w:eastAsia="zh-CN"/>
        </w:rPr>
        <w:t>。</w:t>
      </w:r>
      <w:r>
        <w:rPr>
          <w:rFonts w:hint="default" w:ascii="Times New Roman" w:hAnsi="Times New Roman" w:eastAsia="仿宋_GB2312" w:cs="Times New Roman"/>
          <w:b/>
          <w:bCs/>
          <w:spacing w:val="-4"/>
          <w:sz w:val="32"/>
          <w:szCs w:val="32"/>
          <w:lang w:val="en-US" w:eastAsia="zh-CN"/>
        </w:rPr>
        <w:t>三是</w:t>
      </w:r>
      <w:r>
        <w:rPr>
          <w:rFonts w:hint="default" w:ascii="Times New Roman" w:hAnsi="Times New Roman" w:eastAsia="仿宋_GB2312" w:cs="Times New Roman"/>
          <w:spacing w:val="-4"/>
          <w:sz w:val="32"/>
          <w:szCs w:val="32"/>
        </w:rPr>
        <w:t>在确保隐私及遵守</w:t>
      </w:r>
      <w:r>
        <w:rPr>
          <w:rFonts w:hint="default" w:ascii="Times New Roman" w:hAnsi="Times New Roman" w:eastAsia="仿宋_GB2312" w:cs="Times New Roman"/>
          <w:spacing w:val="-4"/>
          <w:sz w:val="32"/>
          <w:szCs w:val="32"/>
          <w:lang w:eastAsia="zh-CN"/>
        </w:rPr>
        <w:t>相关法规</w:t>
      </w:r>
      <w:r>
        <w:rPr>
          <w:rFonts w:hint="default" w:ascii="Times New Roman" w:hAnsi="Times New Roman" w:eastAsia="仿宋_GB2312" w:cs="Times New Roman"/>
          <w:spacing w:val="-4"/>
          <w:sz w:val="32"/>
          <w:szCs w:val="32"/>
        </w:rPr>
        <w:t>前提下，</w:t>
      </w:r>
      <w:r>
        <w:rPr>
          <w:rFonts w:hint="default" w:ascii="Times New Roman" w:hAnsi="Times New Roman" w:eastAsia="仿宋_GB2312" w:cs="Times New Roman"/>
          <w:spacing w:val="-4"/>
          <w:sz w:val="32"/>
          <w:szCs w:val="32"/>
          <w:lang w:val="en-US" w:eastAsia="zh-CN"/>
        </w:rPr>
        <w:t>积极</w:t>
      </w:r>
      <w:r>
        <w:rPr>
          <w:rFonts w:hint="default" w:ascii="Times New Roman" w:hAnsi="Times New Roman" w:eastAsia="仿宋_GB2312" w:cs="Times New Roman"/>
          <w:spacing w:val="-4"/>
          <w:sz w:val="32"/>
          <w:szCs w:val="32"/>
          <w:lang w:eastAsia="zh-CN"/>
        </w:rPr>
        <w:t>推动医学检验</w:t>
      </w:r>
      <w:r>
        <w:rPr>
          <w:rFonts w:hint="default" w:ascii="Times New Roman" w:hAnsi="Times New Roman" w:eastAsia="仿宋_GB2312" w:cs="Times New Roman"/>
          <w:spacing w:val="-4"/>
          <w:sz w:val="32"/>
          <w:szCs w:val="32"/>
        </w:rPr>
        <w:t>相关标准与国际标准的衔接、融合，</w:t>
      </w:r>
      <w:r>
        <w:rPr>
          <w:rFonts w:hint="default" w:ascii="Times New Roman" w:hAnsi="Times New Roman" w:eastAsia="仿宋_GB2312" w:cs="Times New Roman"/>
          <w:spacing w:val="-4"/>
          <w:sz w:val="32"/>
          <w:szCs w:val="32"/>
          <w:lang w:val="en-US" w:eastAsia="zh-CN"/>
        </w:rPr>
        <w:t>提升检验</w:t>
      </w:r>
      <w:r>
        <w:rPr>
          <w:rFonts w:hint="default" w:ascii="Times New Roman" w:hAnsi="Times New Roman" w:eastAsia="仿宋_GB2312" w:cs="Times New Roman"/>
          <w:spacing w:val="-4"/>
          <w:sz w:val="32"/>
          <w:szCs w:val="32"/>
        </w:rPr>
        <w:t>标准的国际适用性。</w:t>
      </w:r>
      <w:bookmarkEnd w:id="5"/>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二、实践效果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Style w:val="21"/>
          <w:rFonts w:hint="default" w:ascii="Times New Roman" w:hAnsi="Times New Roman" w:eastAsia="楷体_GB2312" w:cs="Times New Roman"/>
          <w:b w:val="0"/>
          <w:bCs w:val="0"/>
          <w:sz w:val="32"/>
          <w:szCs w:val="32"/>
          <w:lang w:val="en-US" w:eastAsia="zh-CN" w:bidi="zh-CN"/>
        </w:rPr>
        <w:t>（一）区域医学检验服务能力显著提升。</w:t>
      </w:r>
      <w:r>
        <w:rPr>
          <w:rFonts w:hint="eastAsia" w:ascii="仿宋_GB2312" w:hAnsi="仿宋_GB2312" w:eastAsia="仿宋_GB2312" w:cs="仿宋_GB2312"/>
          <w:sz w:val="32"/>
          <w:szCs w:val="32"/>
        </w:rPr>
        <w:t>目前，区域医学检验中心已建成全国规模最大的智能化检测实验室，拥有全国第一个无人值守的智能检验流水线、西部最大的核酸检测实验室、亚太区最大的微生物检验流水线，可实现样本转运与检测全程信息化监控。</w:t>
      </w:r>
      <w:r>
        <w:rPr>
          <w:rFonts w:hint="eastAsia" w:ascii="仿宋_GB2312" w:hAnsi="仿宋_GB2312" w:eastAsia="仿宋_GB2312" w:cs="仿宋_GB2312"/>
          <w:sz w:val="32"/>
          <w:szCs w:val="32"/>
          <w:lang w:val="en-US" w:eastAsia="zh-CN"/>
        </w:rPr>
        <w:t>检验范围涵盖</w:t>
      </w:r>
      <w:r>
        <w:rPr>
          <w:rFonts w:hint="eastAsia" w:ascii="仿宋_GB2312" w:hAnsi="仿宋_GB2312" w:eastAsia="仿宋_GB2312" w:cs="仿宋_GB2312"/>
          <w:sz w:val="32"/>
          <w:szCs w:val="32"/>
        </w:rPr>
        <w:t>临床生化免疫</w:t>
      </w:r>
      <w:r>
        <w:rPr>
          <w:rFonts w:hint="eastAsia" w:ascii="仿宋_GB2312" w:hAnsi="仿宋_GB2312" w:eastAsia="仿宋_GB2312" w:cs="仿宋_GB2312"/>
          <w:sz w:val="32"/>
          <w:szCs w:val="32"/>
          <w:lang w:val="en-US" w:eastAsia="zh-CN"/>
        </w:rPr>
        <w:t>检测</w:t>
      </w:r>
      <w:r>
        <w:rPr>
          <w:rFonts w:hint="eastAsia" w:ascii="仿宋_GB2312" w:hAnsi="仿宋_GB2312" w:eastAsia="仿宋_GB2312" w:cs="仿宋_GB2312"/>
          <w:sz w:val="32"/>
          <w:szCs w:val="32"/>
        </w:rPr>
        <w:t>、临床血液</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体液</w:t>
      </w:r>
      <w:r>
        <w:rPr>
          <w:rFonts w:hint="eastAsia" w:ascii="仿宋_GB2312" w:hAnsi="仿宋_GB2312" w:eastAsia="仿宋_GB2312" w:cs="仿宋_GB2312"/>
          <w:sz w:val="32"/>
          <w:szCs w:val="32"/>
          <w:lang w:val="en-US" w:eastAsia="zh-CN"/>
        </w:rPr>
        <w:t>检测</w:t>
      </w:r>
      <w:r>
        <w:rPr>
          <w:rFonts w:hint="eastAsia" w:ascii="仿宋_GB2312" w:hAnsi="仿宋_GB2312" w:eastAsia="仿宋_GB2312" w:cs="仿宋_GB2312"/>
          <w:sz w:val="32"/>
          <w:szCs w:val="32"/>
        </w:rPr>
        <w:t>、临床微生物及感染</w:t>
      </w:r>
      <w:r>
        <w:rPr>
          <w:rFonts w:hint="eastAsia" w:ascii="仿宋_GB2312" w:hAnsi="仿宋_GB2312" w:eastAsia="仿宋_GB2312" w:cs="仿宋_GB2312"/>
          <w:sz w:val="32"/>
          <w:szCs w:val="32"/>
          <w:lang w:val="en-US" w:eastAsia="zh-CN"/>
        </w:rPr>
        <w:t>检测</w:t>
      </w:r>
      <w:r>
        <w:rPr>
          <w:rFonts w:hint="eastAsia" w:ascii="仿宋_GB2312" w:hAnsi="仿宋_GB2312" w:eastAsia="仿宋_GB2312" w:cs="仿宋_GB2312"/>
          <w:sz w:val="32"/>
          <w:szCs w:val="32"/>
        </w:rPr>
        <w:t>、精准用药基因检测、自身免疫性疾病</w:t>
      </w:r>
      <w:r>
        <w:rPr>
          <w:rFonts w:hint="eastAsia" w:ascii="仿宋_GB2312" w:hAnsi="仿宋_GB2312" w:eastAsia="仿宋_GB2312" w:cs="仿宋_GB2312"/>
          <w:sz w:val="32"/>
          <w:szCs w:val="32"/>
          <w:lang w:val="en-US" w:eastAsia="zh-CN"/>
        </w:rPr>
        <w:t>检测等多个方面，</w:t>
      </w:r>
      <w:r>
        <w:rPr>
          <w:rFonts w:hint="eastAsia" w:ascii="仿宋_GB2312" w:hAnsi="仿宋_GB2312" w:eastAsia="仿宋_GB2312" w:cs="仿宋_GB2312"/>
          <w:sz w:val="32"/>
          <w:szCs w:val="32"/>
        </w:rPr>
        <w:t>可检测项目达3000余项，新冠核酸检测单检可达每天</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rPr>
        <w:t>万人次，混检可达每</w:t>
      </w:r>
      <w:r>
        <w:rPr>
          <w:rFonts w:hint="eastAsia" w:ascii="仿宋_GB2312" w:hAnsi="仿宋_GB2312" w:eastAsia="仿宋_GB2312" w:cs="仿宋_GB2312"/>
          <w:sz w:val="32"/>
          <w:szCs w:val="32"/>
          <w:lang w:eastAsia="zh-CN"/>
        </w:rPr>
        <w:t>天</w:t>
      </w:r>
      <w:r>
        <w:rPr>
          <w:rFonts w:hint="eastAsia" w:ascii="仿宋_GB2312" w:hAnsi="仿宋_GB2312" w:eastAsia="仿宋_GB2312" w:cs="仿宋_GB2312"/>
          <w:sz w:val="32"/>
          <w:szCs w:val="32"/>
          <w:lang w:val="en-US" w:eastAsia="zh-CN"/>
        </w:rPr>
        <w:t>260</w:t>
      </w:r>
      <w:r>
        <w:rPr>
          <w:rFonts w:hint="eastAsia" w:ascii="仿宋_GB2312" w:hAnsi="仿宋_GB2312" w:eastAsia="仿宋_GB2312" w:cs="仿宋_GB2312"/>
          <w:sz w:val="32"/>
          <w:szCs w:val="32"/>
        </w:rPr>
        <w:t>万人次。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（二）区域医学检验总体成本大幅降低。</w:t>
      </w:r>
      <w:r>
        <w:rPr>
          <w:rFonts w:hint="eastAsia" w:ascii="仿宋_GB2312" w:hAnsi="仿宋_GB2312" w:eastAsia="仿宋_GB2312" w:cs="仿宋_GB2312"/>
          <w:sz w:val="32"/>
          <w:szCs w:val="32"/>
        </w:rPr>
        <w:t>中心通过</w:t>
      </w:r>
      <w:r>
        <w:rPr>
          <w:rFonts w:hint="eastAsia" w:ascii="仿宋_GB2312" w:hAnsi="仿宋_GB2312" w:eastAsia="仿宋_GB2312" w:cs="仿宋_GB2312"/>
          <w:sz w:val="32"/>
          <w:szCs w:val="32"/>
          <w:lang w:val="en-US" w:eastAsia="zh-CN"/>
        </w:rPr>
        <w:t>智能、</w:t>
      </w:r>
      <w:r>
        <w:rPr>
          <w:rFonts w:hint="eastAsia" w:ascii="仿宋_GB2312" w:hAnsi="仿宋_GB2312" w:eastAsia="仿宋_GB2312" w:cs="仿宋_GB2312"/>
          <w:sz w:val="32"/>
          <w:szCs w:val="32"/>
        </w:rPr>
        <w:t>高效的质量管理平台推行检验项目分类互认制度，在全国层面首次对3000余项</w:t>
      </w:r>
      <w:r>
        <w:rPr>
          <w:rFonts w:hint="eastAsia" w:ascii="仿宋_GB2312" w:hAnsi="仿宋_GB2312" w:eastAsia="仿宋_GB2312" w:cs="仿宋_GB2312"/>
          <w:sz w:val="32"/>
          <w:szCs w:val="32"/>
          <w:lang w:eastAsia="zh-CN"/>
        </w:rPr>
        <w:t>检验</w:t>
      </w:r>
      <w:r>
        <w:rPr>
          <w:rFonts w:hint="eastAsia" w:ascii="仿宋_GB2312" w:hAnsi="仿宋_GB2312" w:eastAsia="仿宋_GB2312" w:cs="仿宋_GB2312"/>
          <w:sz w:val="32"/>
          <w:szCs w:val="32"/>
        </w:rPr>
        <w:t>项目实现了分类化互认管理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目前已有200余项检验项目在市属医院和基层卫生院</w:t>
      </w:r>
      <w:r>
        <w:rPr>
          <w:rFonts w:hint="eastAsia" w:ascii="仿宋_GB2312" w:hAnsi="仿宋_GB2312" w:eastAsia="仿宋_GB2312" w:cs="仿宋_GB2312"/>
          <w:sz w:val="32"/>
          <w:szCs w:val="32"/>
          <w:lang w:val="en-US" w:eastAsia="zh-CN"/>
        </w:rPr>
        <w:t>实现</w:t>
      </w:r>
      <w:r>
        <w:rPr>
          <w:rFonts w:hint="eastAsia" w:ascii="仿宋_GB2312" w:hAnsi="仿宋_GB2312" w:eastAsia="仿宋_GB2312" w:cs="仿宋_GB2312"/>
          <w:sz w:val="32"/>
          <w:szCs w:val="32"/>
        </w:rPr>
        <w:t>互认，300余项检验项目按照检验时限和病人病情</w:t>
      </w:r>
      <w:r>
        <w:rPr>
          <w:rFonts w:hint="eastAsia" w:ascii="仿宋_GB2312" w:hAnsi="仿宋_GB2312" w:eastAsia="仿宋_GB2312" w:cs="仿宋_GB2312"/>
          <w:sz w:val="32"/>
          <w:szCs w:val="32"/>
          <w:lang w:val="en-US" w:eastAsia="zh-CN"/>
        </w:rPr>
        <w:t>实现</w:t>
      </w:r>
      <w:r>
        <w:rPr>
          <w:rFonts w:hint="eastAsia" w:ascii="仿宋_GB2312" w:hAnsi="仿宋_GB2312" w:eastAsia="仿宋_GB2312" w:cs="仿宋_GB2312"/>
          <w:sz w:val="32"/>
          <w:szCs w:val="32"/>
        </w:rPr>
        <w:t>有条件互认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通过集中采购管理，</w:t>
      </w:r>
      <w:r>
        <w:rPr>
          <w:rFonts w:hint="eastAsia" w:ascii="仿宋_GB2312" w:hAnsi="仿宋_GB2312" w:eastAsia="仿宋_GB2312" w:cs="仿宋_GB2312"/>
          <w:sz w:val="32"/>
          <w:szCs w:val="32"/>
        </w:rPr>
        <w:t>中心所覆盖的二三级医疗机构设备采购成本降低了40%以上，试剂采购成本降低了30%以上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区域医学检验成本得到有效控制，</w:t>
      </w:r>
      <w:r>
        <w:rPr>
          <w:rFonts w:hint="eastAsia" w:ascii="仿宋_GB2312" w:hAnsi="仿宋_GB2312" w:eastAsia="仿宋_GB2312" w:cs="仿宋_GB2312"/>
          <w:sz w:val="32"/>
          <w:szCs w:val="32"/>
        </w:rPr>
        <w:t>患者</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就医</w:t>
      </w:r>
      <w:r>
        <w:rPr>
          <w:rFonts w:hint="eastAsia" w:ascii="仿宋_GB2312" w:hAnsi="仿宋_GB2312" w:eastAsia="仿宋_GB2312" w:cs="仿宋_GB2312"/>
          <w:sz w:val="32"/>
          <w:szCs w:val="32"/>
          <w:lang w:val="en-US" w:eastAsia="zh-CN"/>
        </w:rPr>
        <w:t>支出</w:t>
      </w:r>
      <w:r>
        <w:rPr>
          <w:rFonts w:hint="eastAsia" w:ascii="仿宋_GB2312" w:hAnsi="仿宋_GB2312" w:eastAsia="仿宋_GB2312" w:cs="仿宋_GB2312"/>
          <w:sz w:val="32"/>
          <w:szCs w:val="32"/>
        </w:rPr>
        <w:t>和医保支出</w:t>
      </w:r>
      <w:r>
        <w:rPr>
          <w:rFonts w:hint="eastAsia" w:ascii="仿宋_GB2312" w:hAnsi="仿宋_GB2312" w:eastAsia="仿宋_GB2312" w:cs="仿宋_GB2312"/>
          <w:sz w:val="32"/>
          <w:szCs w:val="32"/>
          <w:lang w:val="en-US" w:eastAsia="zh-CN"/>
        </w:rPr>
        <w:t>大幅降低</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Style w:val="21"/>
          <w:rFonts w:hint="default" w:ascii="Times New Roman" w:hAnsi="Times New Roman" w:eastAsia="楷体_GB2312" w:cs="Times New Roman"/>
          <w:b w:val="0"/>
          <w:bCs w:val="0"/>
          <w:sz w:val="32"/>
          <w:szCs w:val="32"/>
          <w:lang w:val="en-US" w:eastAsia="zh-CN" w:bidi="zh-CN"/>
        </w:rPr>
        <w:t>（三）区域医学检验助推服务贸易发展。</w:t>
      </w:r>
      <w:r>
        <w:rPr>
          <w:rFonts w:hint="eastAsia" w:ascii="仿宋_GB2312" w:hAnsi="仿宋_GB2312" w:eastAsia="仿宋_GB2312" w:cs="仿宋_GB2312"/>
          <w:sz w:val="32"/>
          <w:szCs w:val="32"/>
          <w:lang w:val="en-US" w:eastAsia="zh-CN"/>
        </w:rPr>
        <w:t>区域医学检验中心</w:t>
      </w:r>
      <w:r>
        <w:rPr>
          <w:rFonts w:hint="eastAsia" w:ascii="仿宋_GB2312" w:hAnsi="仿宋_GB2312" w:eastAsia="仿宋_GB2312" w:cs="仿宋_GB2312"/>
          <w:sz w:val="32"/>
          <w:szCs w:val="32"/>
        </w:rPr>
        <w:t>与北美</w:t>
      </w:r>
      <w:bookmarkStart w:id="6" w:name="_Hlk75762969"/>
      <w:r>
        <w:rPr>
          <w:rFonts w:hint="eastAsia" w:ascii="仿宋_GB2312" w:hAnsi="仿宋_GB2312" w:eastAsia="仿宋_GB2312" w:cs="仿宋_GB2312"/>
          <w:sz w:val="32"/>
          <w:szCs w:val="32"/>
        </w:rPr>
        <w:t>临床化学学会</w:t>
      </w:r>
      <w:bookmarkEnd w:id="6"/>
      <w:r>
        <w:rPr>
          <w:rFonts w:hint="eastAsia" w:ascii="仿宋_GB2312" w:hAnsi="仿宋_GB2312" w:eastAsia="仿宋_GB2312" w:cs="仿宋_GB2312"/>
          <w:sz w:val="32"/>
          <w:szCs w:val="32"/>
        </w:rPr>
        <w:t>、北美临床微生物学会、丹纳赫集团等</w:t>
      </w:r>
      <w:r>
        <w:rPr>
          <w:rFonts w:hint="eastAsia" w:ascii="仿宋_GB2312" w:hAnsi="仿宋_GB2312" w:eastAsia="仿宋_GB2312" w:cs="仿宋_GB2312"/>
          <w:sz w:val="32"/>
          <w:szCs w:val="32"/>
          <w:lang w:val="en-US" w:eastAsia="zh-CN"/>
        </w:rPr>
        <w:t>机构联合</w:t>
      </w:r>
      <w:r>
        <w:rPr>
          <w:rFonts w:hint="eastAsia" w:ascii="仿宋_GB2312" w:hAnsi="仿宋_GB2312" w:eastAsia="仿宋_GB2312" w:cs="仿宋_GB2312"/>
          <w:sz w:val="32"/>
          <w:szCs w:val="32"/>
          <w:lang w:eastAsia="zh-CN"/>
        </w:rPr>
        <w:t>搭建</w:t>
      </w:r>
      <w:r>
        <w:rPr>
          <w:rFonts w:hint="eastAsia" w:ascii="仿宋_GB2312" w:hAnsi="仿宋_GB2312" w:eastAsia="仿宋_GB2312" w:cs="仿宋_GB2312"/>
          <w:sz w:val="32"/>
          <w:szCs w:val="32"/>
          <w:lang w:val="en-US" w:eastAsia="zh-CN"/>
        </w:rPr>
        <w:t>跨国</w:t>
      </w:r>
      <w:r>
        <w:rPr>
          <w:rFonts w:hint="eastAsia" w:ascii="仿宋_GB2312" w:hAnsi="仿宋_GB2312" w:eastAsia="仿宋_GB2312" w:cs="仿宋_GB2312"/>
          <w:sz w:val="32"/>
          <w:szCs w:val="32"/>
          <w:lang w:eastAsia="zh-CN"/>
        </w:rPr>
        <w:t>产学研用平台，聚</w:t>
      </w:r>
      <w:r>
        <w:rPr>
          <w:rFonts w:hint="eastAsia" w:ascii="仿宋_GB2312" w:hAnsi="仿宋_GB2312" w:eastAsia="仿宋_GB2312" w:cs="仿宋_GB2312"/>
          <w:sz w:val="32"/>
          <w:szCs w:val="32"/>
        </w:rPr>
        <w:t>集</w:t>
      </w:r>
      <w:r>
        <w:rPr>
          <w:rFonts w:hint="eastAsia" w:ascii="仿宋_GB2312" w:hAnsi="仿宋_GB2312" w:eastAsia="仿宋_GB2312" w:cs="仿宋_GB2312"/>
          <w:sz w:val="32"/>
          <w:szCs w:val="32"/>
          <w:lang w:eastAsia="zh-CN"/>
        </w:rPr>
        <w:t>国际</w:t>
      </w:r>
      <w:r>
        <w:rPr>
          <w:rFonts w:hint="eastAsia" w:ascii="仿宋_GB2312" w:hAnsi="仿宋_GB2312" w:eastAsia="仿宋_GB2312" w:cs="仿宋_GB2312"/>
          <w:sz w:val="32"/>
          <w:szCs w:val="32"/>
        </w:rPr>
        <w:t>权威专家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开展了50余项医学检验领域联合攻关科研项目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与罗氏、西门子、雅培等IVD龙头企业合作，实现了检验技术的跨国引入、</w:t>
      </w:r>
      <w:r>
        <w:rPr>
          <w:rFonts w:hint="eastAsia" w:ascii="仿宋_GB2312" w:hAnsi="仿宋_GB2312" w:eastAsia="仿宋_GB2312" w:cs="仿宋_GB2312"/>
          <w:sz w:val="32"/>
          <w:szCs w:val="32"/>
          <w:lang w:eastAsia="zh-CN"/>
        </w:rPr>
        <w:t>国外先进仪器</w:t>
      </w:r>
      <w:r>
        <w:rPr>
          <w:rFonts w:hint="eastAsia" w:ascii="仿宋_GB2312" w:hAnsi="仿宋_GB2312" w:eastAsia="仿宋_GB2312" w:cs="仿宋_GB2312"/>
          <w:sz w:val="32"/>
          <w:szCs w:val="32"/>
        </w:rPr>
        <w:t>设备</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本土化生产</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lang w:eastAsia="zh-CN"/>
        </w:rPr>
        <w:t>国外</w:t>
      </w:r>
      <w:r>
        <w:rPr>
          <w:rFonts w:hint="eastAsia" w:ascii="仿宋_GB2312" w:hAnsi="仿宋_GB2312" w:eastAsia="仿宋_GB2312" w:cs="仿宋_GB2312"/>
          <w:sz w:val="32"/>
          <w:szCs w:val="32"/>
        </w:rPr>
        <w:t>知识产权的本土化再创造</w:t>
      </w:r>
      <w:r>
        <w:rPr>
          <w:rFonts w:hint="eastAsia" w:ascii="仿宋_GB2312" w:hAnsi="仿宋_GB2312" w:eastAsia="仿宋_GB2312" w:cs="仿宋_GB2312"/>
          <w:sz w:val="32"/>
          <w:szCs w:val="32"/>
          <w:lang w:eastAsia="zh-CN"/>
        </w:rPr>
        <w:t>，推动了服务贸易方式由跨境支付向商业存在转变。目前，</w:t>
      </w:r>
      <w:r>
        <w:rPr>
          <w:rFonts w:hint="eastAsia" w:ascii="仿宋_GB2312" w:hAnsi="仿宋_GB2312" w:eastAsia="仿宋_GB2312" w:cs="仿宋_GB2312"/>
          <w:sz w:val="32"/>
          <w:szCs w:val="32"/>
        </w:rPr>
        <w:t>中心已具备较强的国际</w:t>
      </w:r>
      <w:r>
        <w:rPr>
          <w:rFonts w:hint="eastAsia" w:ascii="仿宋_GB2312" w:hAnsi="仿宋_GB2312" w:eastAsia="仿宋_GB2312" w:cs="仿宋_GB2312"/>
          <w:sz w:val="32"/>
          <w:szCs w:val="32"/>
          <w:lang w:val="en-US" w:eastAsia="zh-CN"/>
        </w:rPr>
        <w:t>医学</w:t>
      </w:r>
      <w:r>
        <w:rPr>
          <w:rFonts w:hint="eastAsia" w:ascii="仿宋_GB2312" w:hAnsi="仿宋_GB2312" w:eastAsia="仿宋_GB2312" w:cs="仿宋_GB2312"/>
          <w:sz w:val="32"/>
          <w:szCs w:val="32"/>
        </w:rPr>
        <w:t>检验</w:t>
      </w:r>
      <w:r>
        <w:rPr>
          <w:rFonts w:hint="eastAsia" w:ascii="仿宋_GB2312" w:hAnsi="仿宋_GB2312" w:eastAsia="仿宋_GB2312" w:cs="仿宋_GB2312"/>
          <w:sz w:val="32"/>
          <w:szCs w:val="32"/>
          <w:lang w:val="en-US" w:eastAsia="zh-CN"/>
        </w:rPr>
        <w:t>资源整合能力</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已</w:t>
      </w:r>
      <w:r>
        <w:rPr>
          <w:rFonts w:hint="eastAsia" w:ascii="仿宋_GB2312" w:hAnsi="仿宋_GB2312" w:eastAsia="仿宋_GB2312" w:cs="仿宋_GB2312"/>
          <w:sz w:val="32"/>
          <w:szCs w:val="32"/>
        </w:rPr>
        <w:t>对</w:t>
      </w:r>
      <w:r>
        <w:rPr>
          <w:rFonts w:hint="eastAsia" w:ascii="仿宋_GB2312" w:hAnsi="仿宋_GB2312" w:eastAsia="仿宋_GB2312" w:cs="仿宋_GB2312"/>
          <w:sz w:val="32"/>
          <w:szCs w:val="32"/>
          <w:lang w:eastAsia="zh-CN"/>
        </w:rPr>
        <w:t>国内外相关医检</w:t>
      </w:r>
      <w:r>
        <w:rPr>
          <w:rFonts w:hint="eastAsia" w:ascii="仿宋_GB2312" w:hAnsi="仿宋_GB2312" w:eastAsia="仿宋_GB2312" w:cs="仿宋_GB2312"/>
          <w:sz w:val="32"/>
          <w:szCs w:val="32"/>
        </w:rPr>
        <w:t>人员展开</w:t>
      </w:r>
      <w:r>
        <w:rPr>
          <w:rFonts w:hint="eastAsia" w:ascii="仿宋_GB2312" w:hAnsi="仿宋_GB2312" w:eastAsia="仿宋_GB2312" w:cs="仿宋_GB2312"/>
          <w:sz w:val="32"/>
          <w:szCs w:val="32"/>
          <w:lang w:val="en-US" w:eastAsia="zh-CN"/>
        </w:rPr>
        <w:t>了线上线下</w:t>
      </w:r>
      <w:r>
        <w:rPr>
          <w:rFonts w:hint="eastAsia" w:ascii="仿宋_GB2312" w:hAnsi="仿宋_GB2312" w:eastAsia="仿宋_GB2312" w:cs="仿宋_GB2312"/>
          <w:sz w:val="32"/>
          <w:szCs w:val="32"/>
        </w:rPr>
        <w:t>培训，实现了</w:t>
      </w:r>
      <w:r>
        <w:rPr>
          <w:rFonts w:hint="eastAsia" w:ascii="仿宋_GB2312" w:hAnsi="仿宋_GB2312" w:eastAsia="仿宋_GB2312" w:cs="仿宋_GB2312"/>
          <w:sz w:val="32"/>
          <w:szCs w:val="32"/>
          <w:lang w:val="en-US" w:eastAsia="zh-CN"/>
        </w:rPr>
        <w:t>检验</w:t>
      </w:r>
      <w:r>
        <w:rPr>
          <w:rFonts w:hint="eastAsia" w:ascii="仿宋_GB2312" w:hAnsi="仿宋_GB2312" w:eastAsia="仿宋_GB2312" w:cs="仿宋_GB2312"/>
          <w:sz w:val="32"/>
          <w:szCs w:val="32"/>
        </w:rPr>
        <w:t>技术、试剂、服务的一体化输出</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Style w:val="21"/>
          <w:rFonts w:hint="default" w:ascii="Times New Roman" w:hAnsi="Times New Roman" w:eastAsia="楷体_GB2312" w:cs="Times New Roman"/>
          <w:b w:val="0"/>
          <w:bCs w:val="0"/>
          <w:sz w:val="32"/>
          <w:szCs w:val="32"/>
          <w:lang w:val="en-US" w:eastAsia="zh-CN" w:bidi="zh-CN"/>
        </w:rPr>
        <w:t>（四）区域医学检验助力全球疫情防控。</w:t>
      </w:r>
      <w:r>
        <w:rPr>
          <w:rFonts w:hint="eastAsia" w:ascii="仿宋_GB2312" w:hAnsi="仿宋_GB2312" w:eastAsia="仿宋_GB2312" w:cs="仿宋_GB2312"/>
          <w:sz w:val="32"/>
          <w:szCs w:val="32"/>
        </w:rPr>
        <w:t>新冠疫情爆发后，</w:t>
      </w:r>
      <w:r>
        <w:rPr>
          <w:rFonts w:hint="eastAsia" w:ascii="仿宋_GB2312" w:hAnsi="仿宋_GB2312" w:eastAsia="仿宋_GB2312" w:cs="仿宋_GB2312"/>
          <w:sz w:val="32"/>
          <w:szCs w:val="32"/>
          <w:lang w:val="en-US" w:eastAsia="zh-CN"/>
        </w:rPr>
        <w:t>区域</w:t>
      </w:r>
      <w:r>
        <w:rPr>
          <w:rFonts w:hint="eastAsia" w:ascii="仿宋_GB2312" w:hAnsi="仿宋_GB2312" w:eastAsia="仿宋_GB2312" w:cs="仿宋_GB2312"/>
          <w:sz w:val="32"/>
          <w:szCs w:val="32"/>
        </w:rPr>
        <w:t>医学检验中心</w:t>
      </w:r>
      <w:r>
        <w:rPr>
          <w:rFonts w:hint="eastAsia" w:ascii="仿宋_GB2312" w:hAnsi="仿宋_GB2312" w:eastAsia="仿宋_GB2312" w:cs="仿宋_GB2312"/>
          <w:sz w:val="32"/>
          <w:szCs w:val="32"/>
          <w:lang w:val="en-US" w:eastAsia="zh-CN"/>
        </w:rPr>
        <w:t>率先完成核酸检测试剂盒研发，并</w:t>
      </w:r>
      <w:r>
        <w:rPr>
          <w:rFonts w:hint="eastAsia" w:ascii="仿宋_GB2312" w:hAnsi="仿宋_GB2312" w:eastAsia="仿宋_GB2312" w:cs="仿宋_GB2312"/>
          <w:sz w:val="32"/>
          <w:szCs w:val="32"/>
        </w:rPr>
        <w:t>承担西安、咸阳</w:t>
      </w:r>
      <w:r>
        <w:rPr>
          <w:rFonts w:hint="eastAsia" w:ascii="仿宋_GB2312" w:hAnsi="仿宋_GB2312" w:eastAsia="仿宋_GB2312" w:cs="仿宋_GB2312"/>
          <w:sz w:val="32"/>
          <w:szCs w:val="32"/>
          <w:lang w:eastAsia="zh-CN"/>
        </w:rPr>
        <w:t>、广州</w:t>
      </w:r>
      <w:r>
        <w:rPr>
          <w:rFonts w:hint="eastAsia" w:ascii="仿宋_GB2312" w:hAnsi="仿宋_GB2312" w:eastAsia="仿宋_GB2312" w:cs="仿宋_GB2312"/>
          <w:sz w:val="32"/>
          <w:szCs w:val="32"/>
        </w:rPr>
        <w:t>等多个地区的核酸检测任务，</w:t>
      </w:r>
      <w:r>
        <w:rPr>
          <w:rFonts w:hint="eastAsia" w:ascii="仿宋_GB2312" w:hAnsi="仿宋_GB2312" w:eastAsia="仿宋_GB2312" w:cs="仿宋_GB2312"/>
          <w:sz w:val="32"/>
          <w:szCs w:val="32"/>
          <w:lang w:val="en-US" w:eastAsia="zh-CN"/>
        </w:rPr>
        <w:t>累计</w:t>
      </w:r>
      <w:r>
        <w:rPr>
          <w:rFonts w:hint="eastAsia" w:ascii="仿宋_GB2312" w:hAnsi="仿宋_GB2312" w:eastAsia="仿宋_GB2312" w:cs="仿宋_GB2312"/>
          <w:sz w:val="32"/>
          <w:szCs w:val="32"/>
        </w:rPr>
        <w:t>完成核酸检测超</w:t>
      </w:r>
      <w:r>
        <w:rPr>
          <w:rFonts w:hint="eastAsia" w:ascii="仿宋_GB2312" w:hAnsi="仿宋_GB2312" w:eastAsia="仿宋_GB2312" w:cs="仿宋_GB2312"/>
          <w:sz w:val="32"/>
          <w:szCs w:val="32"/>
          <w:lang w:val="en-US" w:eastAsia="zh-CN"/>
        </w:rPr>
        <w:t>5000</w:t>
      </w:r>
      <w:r>
        <w:rPr>
          <w:rFonts w:hint="eastAsia" w:ascii="仿宋_GB2312" w:hAnsi="仿宋_GB2312" w:eastAsia="仿宋_GB2312" w:cs="仿宋_GB2312"/>
          <w:sz w:val="32"/>
          <w:szCs w:val="32"/>
        </w:rPr>
        <w:t>万人次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同时中心</w:t>
      </w:r>
      <w:r>
        <w:rPr>
          <w:rFonts w:hint="eastAsia" w:ascii="仿宋_GB2312" w:hAnsi="仿宋_GB2312" w:eastAsia="仿宋_GB2312" w:cs="仿宋_GB2312"/>
          <w:sz w:val="32"/>
          <w:szCs w:val="32"/>
        </w:rPr>
        <w:t>主动向陕西、湖北等省份及日本、意大利、韩国等国家捐赠价值800多万元的核酸检测试剂盒，向“一带一路”沿线国家出口核酸检测试剂盒50万人份，</w:t>
      </w:r>
      <w:r>
        <w:rPr>
          <w:rFonts w:hint="eastAsia" w:ascii="仿宋_GB2312" w:hAnsi="仿宋_GB2312" w:eastAsia="仿宋_GB2312" w:cs="仿宋_GB2312"/>
          <w:sz w:val="32"/>
          <w:szCs w:val="32"/>
          <w:lang w:val="en-US" w:eastAsia="zh-CN"/>
        </w:rPr>
        <w:t>并</w:t>
      </w:r>
      <w:r>
        <w:rPr>
          <w:rFonts w:hint="eastAsia" w:ascii="仿宋_GB2312" w:hAnsi="仿宋_GB2312" w:eastAsia="仿宋_GB2312" w:cs="仿宋_GB2312"/>
          <w:sz w:val="32"/>
          <w:szCs w:val="32"/>
        </w:rPr>
        <w:t>推出多语种</w:t>
      </w:r>
      <w:r>
        <w:rPr>
          <w:rFonts w:hint="eastAsia" w:ascii="仿宋_GB2312" w:hAnsi="仿宋_GB2312" w:eastAsia="仿宋_GB2312" w:cs="仿宋_GB2312"/>
          <w:sz w:val="32"/>
          <w:szCs w:val="32"/>
          <w:lang w:val="en-US" w:eastAsia="zh-CN"/>
        </w:rPr>
        <w:t>适用的</w:t>
      </w:r>
      <w:r>
        <w:rPr>
          <w:rFonts w:hint="eastAsia" w:ascii="仿宋_GB2312" w:hAnsi="仿宋_GB2312" w:eastAsia="仿宋_GB2312" w:cs="仿宋_GB2312"/>
          <w:sz w:val="32"/>
          <w:szCs w:val="32"/>
        </w:rPr>
        <w:t>新冠肺炎核酸检测报告</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snapToGrid w:val="0"/>
        <w:spacing w:beforeAutospacing="0" w:afterAutospacing="0" w:line="560" w:lineRule="exact"/>
        <w:ind w:firstLine="640" w:firstLineChars="200"/>
        <w:jc w:val="both"/>
        <w:textAlignment w:val="auto"/>
        <w:rPr>
          <w:rStyle w:val="21"/>
          <w:rFonts w:hint="default" w:ascii="Times New Roman" w:hAnsi="Times New Roman" w:eastAsia="黑体" w:cs="Times New Roman"/>
          <w:sz w:val="32"/>
          <w:szCs w:val="32"/>
          <w:lang w:eastAsia="zh-CN"/>
        </w:rPr>
      </w:pPr>
      <w:r>
        <w:rPr>
          <w:rStyle w:val="21"/>
          <w:rFonts w:hint="default" w:ascii="Times New Roman" w:hAnsi="Times New Roman" w:eastAsia="黑体" w:cs="Times New Roman"/>
          <w:sz w:val="32"/>
          <w:szCs w:val="32"/>
          <w:lang w:eastAsia="zh-CN"/>
        </w:rPr>
        <w:t>三、下一步工作思路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Style w:val="21"/>
          <w:rFonts w:hint="default" w:ascii="Times New Roman" w:hAnsi="Times New Roman" w:eastAsia="楷体_GB2312" w:cs="Times New Roman"/>
          <w:b w:val="0"/>
          <w:bCs w:val="0"/>
          <w:sz w:val="32"/>
          <w:szCs w:val="32"/>
          <w:lang w:val="en-US" w:eastAsia="zh-CN" w:bidi="zh-CN"/>
        </w:rPr>
        <w:t>（一）实施医学检验服务倍增计划。</w:t>
      </w:r>
      <w:r>
        <w:rPr>
          <w:rFonts w:hint="default" w:ascii="Times New Roman" w:hAnsi="Times New Roman" w:eastAsia="仿宋_GB2312" w:cs="Times New Roman"/>
          <w:sz w:val="32"/>
          <w:szCs w:val="32"/>
          <w:lang w:val="en-US" w:eastAsia="zh-CN"/>
        </w:rPr>
        <w:t>区域医学检验中心将加大国内外</w:t>
      </w:r>
      <w:r>
        <w:rPr>
          <w:rFonts w:hint="default" w:ascii="Times New Roman" w:hAnsi="Times New Roman" w:eastAsia="仿宋_GB2312" w:cs="Times New Roman"/>
          <w:sz w:val="32"/>
          <w:szCs w:val="32"/>
        </w:rPr>
        <w:t>先进</w:t>
      </w:r>
      <w:r>
        <w:rPr>
          <w:rFonts w:hint="default" w:ascii="Times New Roman" w:hAnsi="Times New Roman" w:eastAsia="仿宋_GB2312" w:cs="Times New Roman"/>
          <w:sz w:val="32"/>
          <w:szCs w:val="32"/>
          <w:lang w:val="en-US" w:eastAsia="zh-CN"/>
        </w:rPr>
        <w:t>检验</w:t>
      </w:r>
      <w:r>
        <w:rPr>
          <w:rFonts w:hint="default" w:ascii="Times New Roman" w:hAnsi="Times New Roman" w:eastAsia="仿宋_GB2312" w:cs="Times New Roman"/>
          <w:sz w:val="32"/>
          <w:szCs w:val="32"/>
        </w:rPr>
        <w:t>技术和</w:t>
      </w:r>
      <w:r>
        <w:rPr>
          <w:rFonts w:hint="default" w:ascii="Times New Roman" w:hAnsi="Times New Roman" w:eastAsia="仿宋_GB2312" w:cs="Times New Roman"/>
          <w:sz w:val="32"/>
          <w:szCs w:val="32"/>
          <w:lang w:val="en-US" w:eastAsia="zh-CN"/>
        </w:rPr>
        <w:t>临床经验的引进力度</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加强与医院、卫生院等各级医疗机构的合作力度，不断</w:t>
      </w:r>
      <w:r>
        <w:rPr>
          <w:rFonts w:hint="default" w:ascii="Times New Roman" w:hAnsi="Times New Roman" w:eastAsia="仿宋_GB2312" w:cs="Times New Roman"/>
          <w:sz w:val="32"/>
          <w:szCs w:val="32"/>
        </w:rPr>
        <w:t>扩展</w:t>
      </w:r>
      <w:r>
        <w:rPr>
          <w:rFonts w:hint="default" w:ascii="Times New Roman" w:hAnsi="Times New Roman" w:eastAsia="仿宋_GB2312" w:cs="Times New Roman"/>
          <w:sz w:val="32"/>
          <w:szCs w:val="32"/>
          <w:lang w:val="en-US" w:eastAsia="zh-CN"/>
        </w:rPr>
        <w:t>检验</w:t>
      </w:r>
      <w:r>
        <w:rPr>
          <w:rFonts w:hint="default" w:ascii="Times New Roman" w:hAnsi="Times New Roman" w:eastAsia="仿宋_GB2312" w:cs="Times New Roman"/>
          <w:sz w:val="32"/>
          <w:szCs w:val="32"/>
        </w:rPr>
        <w:t>范围</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提升</w:t>
      </w:r>
      <w:r>
        <w:rPr>
          <w:rFonts w:hint="default" w:ascii="Times New Roman" w:hAnsi="Times New Roman" w:eastAsia="仿宋_GB2312" w:cs="Times New Roman"/>
          <w:sz w:val="32"/>
          <w:szCs w:val="32"/>
          <w:lang w:val="en-US" w:eastAsia="zh-CN"/>
        </w:rPr>
        <w:t>服务质量</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严控质量标准，</w:t>
      </w:r>
      <w:r>
        <w:rPr>
          <w:rFonts w:hint="default" w:ascii="Times New Roman" w:hAnsi="Times New Roman" w:eastAsia="仿宋_GB2312" w:cs="Times New Roman"/>
          <w:sz w:val="32"/>
          <w:szCs w:val="32"/>
        </w:rPr>
        <w:t>为社会提供更优质，更具性价比的</w:t>
      </w:r>
      <w:r>
        <w:rPr>
          <w:rFonts w:hint="default" w:ascii="Times New Roman" w:hAnsi="Times New Roman" w:eastAsia="仿宋_GB2312" w:cs="Times New Roman"/>
          <w:sz w:val="32"/>
          <w:szCs w:val="32"/>
          <w:lang w:val="en-US" w:eastAsia="zh-CN"/>
        </w:rPr>
        <w:t>医学检验</w:t>
      </w:r>
      <w:r>
        <w:rPr>
          <w:rFonts w:hint="default" w:ascii="Times New Roman" w:hAnsi="Times New Roman" w:eastAsia="仿宋_GB2312" w:cs="Times New Roman"/>
          <w:sz w:val="32"/>
          <w:szCs w:val="32"/>
        </w:rPr>
        <w:t>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Style w:val="21"/>
          <w:rFonts w:hint="default" w:ascii="Times New Roman" w:hAnsi="Times New Roman" w:eastAsia="楷体_GB2312" w:cs="Times New Roman"/>
          <w:b w:val="0"/>
          <w:bCs w:val="0"/>
          <w:sz w:val="32"/>
          <w:szCs w:val="32"/>
          <w:lang w:val="en-US" w:eastAsia="zh-CN" w:bidi="zh-CN"/>
        </w:rPr>
        <w:t>（二）扩大检验结果互认互通范围。</w:t>
      </w:r>
      <w:r>
        <w:rPr>
          <w:rFonts w:hint="eastAsia" w:ascii="仿宋_GB2312" w:hAnsi="仿宋_GB2312" w:eastAsia="仿宋_GB2312" w:cs="仿宋_GB2312"/>
          <w:sz w:val="32"/>
          <w:szCs w:val="32"/>
        </w:rPr>
        <w:t>区域医学检验中心将进一步</w:t>
      </w:r>
      <w:r>
        <w:rPr>
          <w:rFonts w:hint="eastAsia" w:ascii="仿宋_GB2312" w:hAnsi="仿宋_GB2312" w:eastAsia="仿宋_GB2312" w:cs="仿宋_GB2312"/>
          <w:sz w:val="32"/>
          <w:szCs w:val="32"/>
          <w:lang w:val="en-US" w:eastAsia="zh-CN"/>
        </w:rPr>
        <w:t>扩大服务范围，</w:t>
      </w:r>
      <w:r>
        <w:rPr>
          <w:rFonts w:hint="eastAsia" w:ascii="仿宋_GB2312" w:hAnsi="仿宋_GB2312" w:eastAsia="仿宋_GB2312" w:cs="仿宋_GB2312"/>
          <w:sz w:val="32"/>
          <w:szCs w:val="32"/>
        </w:rPr>
        <w:t>推动更多检验项目</w:t>
      </w:r>
      <w:r>
        <w:rPr>
          <w:rFonts w:hint="eastAsia" w:ascii="仿宋_GB2312" w:hAnsi="仿宋_GB2312" w:eastAsia="仿宋_GB2312" w:cs="仿宋_GB2312"/>
          <w:sz w:val="32"/>
          <w:szCs w:val="32"/>
          <w:lang w:val="en-US" w:eastAsia="zh-CN"/>
        </w:rPr>
        <w:t>在全国范围内跨区域、跨机构</w:t>
      </w:r>
      <w:r>
        <w:rPr>
          <w:rFonts w:hint="eastAsia" w:ascii="仿宋_GB2312" w:hAnsi="仿宋_GB2312" w:eastAsia="仿宋_GB2312" w:cs="仿宋_GB2312"/>
          <w:sz w:val="32"/>
          <w:szCs w:val="32"/>
        </w:rPr>
        <w:t>互认</w:t>
      </w:r>
      <w:r>
        <w:rPr>
          <w:rFonts w:hint="eastAsia" w:ascii="仿宋_GB2312" w:hAnsi="仿宋_GB2312" w:eastAsia="仿宋_GB2312" w:cs="仿宋_GB2312"/>
          <w:sz w:val="32"/>
          <w:szCs w:val="32"/>
          <w:lang w:val="en-US" w:eastAsia="zh-CN"/>
        </w:rPr>
        <w:t>互通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同时加深</w:t>
      </w:r>
      <w:r>
        <w:rPr>
          <w:rFonts w:hint="eastAsia" w:ascii="仿宋_GB2312" w:hAnsi="仿宋_GB2312" w:eastAsia="仿宋_GB2312" w:cs="仿宋_GB2312"/>
          <w:sz w:val="32"/>
          <w:szCs w:val="32"/>
        </w:rPr>
        <w:t>与“一带一路”沿线国家的合作</w:t>
      </w:r>
      <w:r>
        <w:rPr>
          <w:rFonts w:hint="eastAsia" w:ascii="仿宋_GB2312" w:hAnsi="仿宋_GB2312" w:eastAsia="仿宋_GB2312" w:cs="仿宋_GB2312"/>
          <w:sz w:val="32"/>
          <w:szCs w:val="32"/>
          <w:lang w:val="en-US" w:eastAsia="zh-CN"/>
        </w:rPr>
        <w:t>交流</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在</w:t>
      </w:r>
      <w:r>
        <w:rPr>
          <w:rFonts w:hint="eastAsia" w:ascii="仿宋_GB2312" w:hAnsi="仿宋_GB2312" w:eastAsia="仿宋_GB2312" w:cs="仿宋_GB2312"/>
          <w:sz w:val="32"/>
          <w:szCs w:val="32"/>
        </w:rPr>
        <w:t>条件成熟时，推动检验结果的跨国互认</w:t>
      </w:r>
      <w:r>
        <w:rPr>
          <w:rFonts w:hint="eastAsia" w:ascii="仿宋_GB2312" w:hAnsi="仿宋_GB2312" w:eastAsia="仿宋_GB2312" w:cs="仿宋_GB2312"/>
          <w:sz w:val="32"/>
          <w:szCs w:val="32"/>
          <w:lang w:val="en-US" w:eastAsia="zh-CN"/>
        </w:rPr>
        <w:t>互通</w:t>
      </w:r>
      <w:r>
        <w:rPr>
          <w:rFonts w:hint="eastAsia" w:ascii="仿宋_GB2312" w:hAnsi="仿宋_GB2312" w:eastAsia="仿宋_GB2312" w:cs="仿宋_GB2312"/>
          <w:sz w:val="32"/>
          <w:szCs w:val="32"/>
        </w:rPr>
        <w:t>。</w:t>
      </w:r>
    </w:p>
    <w:p>
      <w:pPr>
        <w:pStyle w:val="19"/>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_GB2312" w:cs="Times New Roman"/>
          <w:sz w:val="32"/>
          <w:szCs w:val="32"/>
          <w:lang w:val="en-US" w:eastAsia="zh-CN"/>
        </w:rPr>
      </w:pPr>
      <w:r>
        <w:rPr>
          <w:rStyle w:val="21"/>
          <w:rFonts w:hint="default" w:ascii="Times New Roman" w:hAnsi="Times New Roman" w:eastAsia="楷体_GB2312" w:cs="Times New Roman"/>
          <w:b w:val="0"/>
          <w:bCs w:val="0"/>
          <w:kern w:val="2"/>
          <w:sz w:val="32"/>
          <w:szCs w:val="32"/>
          <w:lang w:val="en-US" w:eastAsia="zh-CN" w:bidi="zh-CN"/>
        </w:rPr>
        <w:t>（三）加强医学检验领域国际合作。</w:t>
      </w:r>
      <w:r>
        <w:rPr>
          <w:rFonts w:hint="default" w:ascii="Times New Roman" w:hAnsi="Times New Roman" w:eastAsia="仿宋_GB2312" w:cs="Times New Roman"/>
          <w:sz w:val="32"/>
          <w:szCs w:val="32"/>
        </w:rPr>
        <w:t>区域医学检验中心</w:t>
      </w:r>
      <w:r>
        <w:rPr>
          <w:rFonts w:hint="default" w:ascii="Times New Roman" w:hAnsi="Times New Roman" w:eastAsia="仿宋_GB2312" w:cs="Times New Roman"/>
          <w:sz w:val="32"/>
          <w:szCs w:val="32"/>
          <w:lang w:val="en-US" w:eastAsia="zh-CN"/>
        </w:rPr>
        <w:t>将</w:t>
      </w:r>
      <w:r>
        <w:rPr>
          <w:rFonts w:hint="default" w:ascii="Times New Roman" w:hAnsi="Times New Roman" w:eastAsia="仿宋_GB2312" w:cs="Times New Roman"/>
          <w:sz w:val="32"/>
          <w:szCs w:val="32"/>
        </w:rPr>
        <w:t>与</w:t>
      </w:r>
      <w:r>
        <w:rPr>
          <w:rFonts w:hint="default" w:ascii="Times New Roman" w:hAnsi="Times New Roman" w:eastAsia="仿宋_GB2312" w:cs="Times New Roman"/>
          <w:sz w:val="32"/>
          <w:szCs w:val="32"/>
          <w:lang w:val="en-US" w:eastAsia="zh-CN"/>
        </w:rPr>
        <w:t>更多</w:t>
      </w:r>
      <w:r>
        <w:rPr>
          <w:rFonts w:hint="default" w:ascii="Times New Roman" w:hAnsi="Times New Roman" w:eastAsia="仿宋_GB2312" w:cs="Times New Roman"/>
          <w:sz w:val="32"/>
          <w:szCs w:val="32"/>
        </w:rPr>
        <w:t>国际先进</w:t>
      </w:r>
      <w:r>
        <w:rPr>
          <w:rFonts w:hint="default" w:ascii="Times New Roman" w:hAnsi="Times New Roman" w:eastAsia="仿宋_GB2312" w:cs="Times New Roman"/>
          <w:sz w:val="32"/>
          <w:szCs w:val="32"/>
          <w:lang w:val="en-US" w:eastAsia="zh-CN"/>
        </w:rPr>
        <w:t>科研院所、检验机构和行业龙头企业</w:t>
      </w:r>
      <w:r>
        <w:rPr>
          <w:rFonts w:hint="default" w:ascii="Times New Roman" w:hAnsi="Times New Roman" w:eastAsia="仿宋_GB2312" w:cs="Times New Roman"/>
          <w:sz w:val="32"/>
          <w:szCs w:val="32"/>
        </w:rPr>
        <w:t>开展</w:t>
      </w:r>
      <w:r>
        <w:rPr>
          <w:rFonts w:hint="default" w:ascii="Times New Roman" w:hAnsi="Times New Roman" w:eastAsia="仿宋_GB2312" w:cs="Times New Roman"/>
          <w:sz w:val="32"/>
          <w:szCs w:val="32"/>
          <w:lang w:val="en-US" w:eastAsia="zh-CN"/>
        </w:rPr>
        <w:t>全方位、深层</w:t>
      </w:r>
      <w:r>
        <w:rPr>
          <w:rFonts w:hint="default" w:ascii="Times New Roman" w:hAnsi="Times New Roman" w:eastAsia="仿宋_GB2312" w:cs="Times New Roman"/>
          <w:kern w:val="2"/>
          <w:sz w:val="32"/>
          <w:szCs w:val="32"/>
          <w:lang w:val="en-US" w:eastAsia="zh-CN" w:bidi="ar-SA"/>
        </w:rPr>
        <w:t>次的合作交流，不断提升检验能力和检验结果临床应用水平；加大国外先进检验仪器设备的引入和本土化生产力度，推动更多国外知识产权的本土化再创造，同时将更多的检测产品、检验服务和临床经验</w:t>
      </w:r>
      <w:r>
        <w:rPr>
          <w:rFonts w:hint="default" w:ascii="Times New Roman" w:hAnsi="Times New Roman" w:eastAsia="仿宋_GB2312" w:cs="Times New Roman"/>
          <w:sz w:val="32"/>
          <w:szCs w:val="32"/>
          <w:lang w:val="en-US" w:eastAsia="zh-CN"/>
        </w:rPr>
        <w:t>推向国际市场</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推动医学检验领域创新发展。</w:t>
      </w:r>
    </w:p>
    <w:p>
      <w:pPr>
        <w:pStyle w:val="19"/>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（陕西自贸试验区沣东新城功能区提供）</w:t>
      </w:r>
    </w:p>
    <w:p>
      <w:pPr>
        <w:pStyle w:val="19"/>
        <w:keepNext w:val="0"/>
        <w:keepLines w:val="0"/>
        <w:pageBreakBefore w:val="0"/>
        <w:widowControl w:val="0"/>
        <w:kinsoku/>
        <w:wordWrap/>
        <w:overflowPunct/>
        <w:topLinePunct w:val="0"/>
        <w:bidi w:val="0"/>
        <w:spacing w:line="560" w:lineRule="exact"/>
        <w:rPr>
          <w:rFonts w:hint="default" w:ascii="Times New Roman" w:hAnsi="Times New Roman" w:eastAsia="仿宋_GB2312" w:cs="Times New Roman"/>
          <w:sz w:val="32"/>
          <w:szCs w:val="32"/>
          <w:lang w:val="en-US" w:eastAsia="zh-CN"/>
        </w:rPr>
      </w:pPr>
    </w:p>
    <w:p>
      <w:pPr>
        <w:pStyle w:val="19"/>
        <w:keepNext w:val="0"/>
        <w:keepLines w:val="0"/>
        <w:pageBreakBefore w:val="0"/>
        <w:widowControl w:val="0"/>
        <w:kinsoku/>
        <w:wordWrap/>
        <w:overflowPunct/>
        <w:topLinePunct w:val="0"/>
        <w:bidi w:val="0"/>
        <w:spacing w:line="560" w:lineRule="exact"/>
        <w:rPr>
          <w:rFonts w:hint="default" w:ascii="Times New Roman" w:hAnsi="Times New Roman" w:eastAsia="仿宋_GB2312" w:cs="Times New Roman"/>
          <w:sz w:val="32"/>
          <w:szCs w:val="32"/>
          <w:lang w:val="en-US" w:eastAsia="zh-CN"/>
        </w:rPr>
      </w:pPr>
    </w:p>
    <w:p>
      <w:pPr>
        <w:pStyle w:val="19"/>
        <w:keepNext w:val="0"/>
        <w:keepLines w:val="0"/>
        <w:pageBreakBefore w:val="0"/>
        <w:widowControl w:val="0"/>
        <w:kinsoku/>
        <w:wordWrap/>
        <w:overflowPunct/>
        <w:topLinePunct w:val="0"/>
        <w:bidi w:val="0"/>
        <w:spacing w:line="560" w:lineRule="exact"/>
        <w:rPr>
          <w:rFonts w:hint="default" w:ascii="Times New Roman" w:hAnsi="Times New Roman" w:eastAsia="仿宋_GB2312" w:cs="Times New Roman"/>
          <w:sz w:val="32"/>
          <w:szCs w:val="32"/>
          <w:lang w:val="en-US" w:eastAsia="zh-CN"/>
        </w:rPr>
      </w:pPr>
    </w:p>
    <w:p>
      <w:pPr>
        <w:pStyle w:val="19"/>
        <w:keepNext w:val="0"/>
        <w:keepLines w:val="0"/>
        <w:pageBreakBefore w:val="0"/>
        <w:widowControl w:val="0"/>
        <w:kinsoku/>
        <w:wordWrap/>
        <w:overflowPunct/>
        <w:topLinePunct w:val="0"/>
        <w:bidi w:val="0"/>
        <w:spacing w:line="560" w:lineRule="exact"/>
        <w:rPr>
          <w:rFonts w:hint="default" w:ascii="Times New Roman" w:hAnsi="Times New Roman" w:eastAsia="仿宋_GB2312" w:cs="Times New Roman"/>
          <w:sz w:val="32"/>
          <w:szCs w:val="32"/>
          <w:lang w:val="en-US" w:eastAsia="zh-CN"/>
        </w:rPr>
      </w:pPr>
    </w:p>
    <w:p>
      <w:pPr>
        <w:pStyle w:val="19"/>
        <w:keepNext w:val="0"/>
        <w:keepLines w:val="0"/>
        <w:pageBreakBefore w:val="0"/>
        <w:widowControl w:val="0"/>
        <w:kinsoku/>
        <w:wordWrap/>
        <w:overflowPunct/>
        <w:topLinePunct w:val="0"/>
        <w:bidi w:val="0"/>
        <w:spacing w:line="560" w:lineRule="exact"/>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snapToGrid w:val="0"/>
        <w:spacing w:beforeAutospacing="0" w:afterAutospacing="0" w:line="560" w:lineRule="exact"/>
        <w:jc w:val="both"/>
        <w:textAlignment w:val="auto"/>
        <w:rPr>
          <w:rStyle w:val="21"/>
          <w:rFonts w:hint="default" w:ascii="Times New Roman" w:hAnsi="Times New Roman" w:eastAsia="黑体" w:cs="Times New Roman"/>
          <w:sz w:val="32"/>
          <w:szCs w:val="32"/>
          <w:lang w:val="en-US" w:eastAsia="zh-CN"/>
        </w:rPr>
      </w:pPr>
      <w:r>
        <w:rPr>
          <w:rStyle w:val="21"/>
          <w:rFonts w:hint="default" w:ascii="Times New Roman" w:hAnsi="Times New Roman" w:eastAsia="黑体" w:cs="Times New Roman"/>
          <w:sz w:val="32"/>
          <w:szCs w:val="32"/>
          <w:lang w:val="en-GB" w:eastAsia="zh-CN"/>
        </w:rPr>
        <w:t>案例</w:t>
      </w:r>
      <w:r>
        <w:rPr>
          <w:rStyle w:val="21"/>
          <w:rFonts w:hint="default" w:ascii="Times New Roman" w:hAnsi="Times New Roman" w:eastAsia="黑体" w:cs="Times New Roman"/>
          <w:sz w:val="32"/>
          <w:szCs w:val="32"/>
          <w:lang w:val="en-US" w:eastAsia="zh-CN"/>
        </w:rPr>
        <w:t>14</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lang w:val="en-GB"/>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GB" w:eastAsia="zh-CN"/>
        </w:rPr>
      </w:pPr>
      <w:r>
        <w:rPr>
          <w:rFonts w:hint="default" w:ascii="Times New Roman" w:hAnsi="Times New Roman" w:eastAsia="方正小标宋简体" w:cs="Times New Roman"/>
          <w:b w:val="0"/>
          <w:bCs w:val="0"/>
          <w:color w:val="auto"/>
          <w:spacing w:val="0"/>
          <w:sz w:val="44"/>
          <w:szCs w:val="44"/>
          <w:lang w:val="en-GB" w:eastAsia="zh-CN"/>
        </w:rPr>
        <w:t>医疗器械研发转化公共服务平台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0"/>
          <w:sz w:val="32"/>
          <w:szCs w:val="32"/>
          <w:lang w:val="en-GB"/>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lang w:val="en-GB"/>
        </w:rPr>
      </w:pPr>
      <w:r>
        <w:rPr>
          <w:rFonts w:hint="eastAsia" w:ascii="仿宋_GB2312" w:hAnsi="仿宋_GB2312" w:eastAsia="仿宋_GB2312" w:cs="仿宋_GB2312"/>
          <w:kern w:val="0"/>
          <w:sz w:val="32"/>
          <w:szCs w:val="32"/>
          <w:lang w:val="en-GB"/>
        </w:rPr>
        <w:t>为破解医疗器械生产企业研发投入大、场地建设周期长、成果转化困难的难点，陕西自贸试验区秦汉新城功能区率先搭建了医疗器械研发转化公共服务平台，为体外诊断类医疗器械企业提供共享GMP厂房、公共研发实验室、研发人员和技术支撑、基金投融资及合规注册管理、产品推广服务等，</w:t>
      </w:r>
      <w:r>
        <w:rPr>
          <w:rFonts w:hint="eastAsia" w:ascii="仿宋_GB2312" w:hAnsi="仿宋_GB2312" w:eastAsia="仿宋_GB2312" w:cs="仿宋_GB2312"/>
          <w:kern w:val="0"/>
          <w:sz w:val="32"/>
          <w:szCs w:val="32"/>
          <w:lang w:val="en-GB" w:eastAsia="zh-CN"/>
        </w:rPr>
        <w:t>助力各类</w:t>
      </w:r>
      <w:r>
        <w:rPr>
          <w:rFonts w:hint="eastAsia" w:ascii="仿宋_GB2312" w:hAnsi="仿宋_GB2312" w:eastAsia="仿宋_GB2312" w:cs="仿宋_GB2312"/>
          <w:kern w:val="0"/>
          <w:sz w:val="32"/>
          <w:szCs w:val="32"/>
          <w:lang w:val="en-GB"/>
        </w:rPr>
        <w:t>创新产品</w:t>
      </w:r>
      <w:r>
        <w:rPr>
          <w:rFonts w:hint="eastAsia" w:ascii="仿宋_GB2312" w:hAnsi="仿宋_GB2312" w:eastAsia="仿宋_GB2312" w:cs="仿宋_GB2312"/>
          <w:kern w:val="0"/>
          <w:sz w:val="32"/>
          <w:szCs w:val="32"/>
          <w:lang w:val="en-GB" w:eastAsia="zh-CN"/>
        </w:rPr>
        <w:t>加速</w:t>
      </w:r>
      <w:r>
        <w:rPr>
          <w:rFonts w:hint="eastAsia" w:ascii="仿宋_GB2312" w:hAnsi="仿宋_GB2312" w:eastAsia="仿宋_GB2312" w:cs="仿宋_GB2312"/>
          <w:kern w:val="0"/>
          <w:sz w:val="32"/>
          <w:szCs w:val="32"/>
          <w:lang w:val="en-GB"/>
        </w:rPr>
        <w:t>上市和落地。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 w:val="0"/>
          <w:bCs/>
          <w:color w:val="000000"/>
          <w:kern w:val="0"/>
          <w:sz w:val="32"/>
          <w:szCs w:val="32"/>
          <w:lang w:val="en-GB" w:eastAsia="zh-CN"/>
        </w:rPr>
      </w:pPr>
      <w:r>
        <w:rPr>
          <w:rFonts w:hint="default" w:ascii="Times New Roman" w:hAnsi="Times New Roman" w:eastAsia="黑体" w:cs="Times New Roman"/>
          <w:b w:val="0"/>
          <w:bCs/>
          <w:color w:val="000000"/>
          <w:kern w:val="0"/>
          <w:sz w:val="32"/>
          <w:szCs w:val="32"/>
          <w:lang w:val="en-GB" w:eastAsia="zh-CN"/>
        </w:rPr>
        <w:t>一、主要做法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lang w:val="en-GB"/>
        </w:rPr>
      </w:pPr>
      <w:r>
        <w:rPr>
          <w:rStyle w:val="21"/>
          <w:rFonts w:hint="default" w:ascii="Times New Roman" w:hAnsi="Times New Roman" w:eastAsia="楷体_GB2312" w:cs="Times New Roman"/>
          <w:b w:val="0"/>
          <w:bCs w:val="0"/>
          <w:sz w:val="32"/>
          <w:szCs w:val="32"/>
          <w:lang w:val="en-GB" w:eastAsia="zh-CN" w:bidi="zh-CN"/>
        </w:rPr>
        <w:t>（一）建设共</w:t>
      </w:r>
      <w:r>
        <w:rPr>
          <w:rStyle w:val="21"/>
          <w:rFonts w:hint="eastAsia" w:ascii="楷体_GB2312" w:hAnsi="楷体_GB2312" w:eastAsia="楷体_GB2312" w:cs="楷体_GB2312"/>
          <w:b w:val="0"/>
          <w:bCs w:val="0"/>
          <w:sz w:val="32"/>
          <w:szCs w:val="32"/>
          <w:lang w:val="en-GB" w:eastAsia="zh-CN" w:bidi="zh-CN"/>
        </w:rPr>
        <w:t>享GMP</w:t>
      </w:r>
      <w:r>
        <w:rPr>
          <w:rStyle w:val="21"/>
          <w:rFonts w:hint="default" w:ascii="Times New Roman" w:hAnsi="Times New Roman" w:eastAsia="楷体_GB2312" w:cs="Times New Roman"/>
          <w:b w:val="0"/>
          <w:bCs w:val="0"/>
          <w:sz w:val="32"/>
          <w:szCs w:val="32"/>
          <w:lang w:val="en-GB" w:eastAsia="zh-CN" w:bidi="zh-CN"/>
        </w:rPr>
        <w:t>厂房。</w:t>
      </w:r>
      <w:r>
        <w:rPr>
          <w:rFonts w:hint="eastAsia" w:ascii="仿宋_GB2312" w:hAnsi="仿宋_GB2312" w:eastAsia="仿宋_GB2312" w:cs="仿宋_GB2312"/>
          <w:kern w:val="0"/>
          <w:sz w:val="32"/>
          <w:szCs w:val="32"/>
          <w:lang w:val="en-GB"/>
        </w:rPr>
        <w:t>平台建成符合国际标准和GMP的基因扩增实验室和体外诊断生产洁净车间，配备国内外先进的研发、质检及生产设备，并根据各医疗器械注册持有人产品特性建立合规性的GMP体系，实现产品委托生产、临床、注册申报的一站式集成解决，满足</w:t>
      </w:r>
      <w:r>
        <w:rPr>
          <w:rFonts w:hint="eastAsia" w:ascii="仿宋_GB2312" w:hAnsi="仿宋_GB2312" w:eastAsia="仿宋_GB2312" w:cs="仿宋_GB2312"/>
          <w:kern w:val="0"/>
          <w:sz w:val="32"/>
          <w:szCs w:val="32"/>
          <w:lang w:val="en-GB" w:eastAsia="zh-CN"/>
        </w:rPr>
        <w:t>医疗器械注册持有人</w:t>
      </w:r>
      <w:r>
        <w:rPr>
          <w:rFonts w:hint="eastAsia" w:ascii="仿宋_GB2312" w:hAnsi="仿宋_GB2312" w:eastAsia="仿宋_GB2312" w:cs="仿宋_GB2312"/>
          <w:kern w:val="0"/>
          <w:sz w:val="32"/>
          <w:szCs w:val="32"/>
          <w:lang w:val="en-GB"/>
        </w:rPr>
        <w:t>分子诊断检测、体外诊断试剂的研发及生产</w:t>
      </w:r>
      <w:r>
        <w:rPr>
          <w:rFonts w:hint="eastAsia" w:ascii="仿宋_GB2312" w:hAnsi="仿宋_GB2312" w:eastAsia="仿宋_GB2312" w:cs="仿宋_GB2312"/>
          <w:kern w:val="0"/>
          <w:sz w:val="32"/>
          <w:szCs w:val="32"/>
          <w:lang w:val="en-GB" w:eastAsia="zh-CN"/>
        </w:rPr>
        <w:t>需求</w:t>
      </w:r>
      <w:r>
        <w:rPr>
          <w:rFonts w:hint="eastAsia" w:ascii="仿宋_GB2312" w:hAnsi="仿宋_GB2312" w:eastAsia="仿宋_GB2312" w:cs="仿宋_GB2312"/>
          <w:kern w:val="0"/>
          <w:sz w:val="32"/>
          <w:szCs w:val="32"/>
          <w:lang w:val="en-GB"/>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0"/>
          <w:sz w:val="32"/>
          <w:szCs w:val="32"/>
          <w:lang w:val="en-GB"/>
        </w:rPr>
      </w:pPr>
      <w:r>
        <w:rPr>
          <w:rStyle w:val="21"/>
          <w:rFonts w:hint="default" w:ascii="Times New Roman" w:hAnsi="Times New Roman" w:eastAsia="楷体_GB2312" w:cs="Times New Roman"/>
          <w:b w:val="0"/>
          <w:bCs w:val="0"/>
          <w:sz w:val="32"/>
          <w:szCs w:val="32"/>
          <w:lang w:val="en-GB" w:eastAsia="zh-CN" w:bidi="zh-CN"/>
        </w:rPr>
        <w:t>（二）搭建研发转化服务体系。</w:t>
      </w:r>
      <w:r>
        <w:rPr>
          <w:rFonts w:hint="default" w:ascii="Times New Roman" w:hAnsi="Times New Roman" w:eastAsia="仿宋_GB2312" w:cs="Times New Roman"/>
          <w:kern w:val="0"/>
          <w:sz w:val="32"/>
          <w:szCs w:val="32"/>
          <w:lang w:val="en-GB"/>
        </w:rPr>
        <w:t>平台组建了涵盖医学检验、科学研究和第三类体外诊断试剂的核心团队，实现分子诊断类医疗器械从立项调研、设计开发、工艺转产、质量管理、临床试验到注册上市的全生命周期服务支撑，可为医疗器械注册持有人提供研发共享、技术支持、研发成果转化、产品注册指导等服务，加速医疗器械产品</w:t>
      </w:r>
      <w:r>
        <w:rPr>
          <w:rFonts w:hint="default" w:ascii="Times New Roman" w:hAnsi="Times New Roman" w:eastAsia="仿宋_GB2312" w:cs="Times New Roman"/>
          <w:kern w:val="0"/>
          <w:sz w:val="32"/>
          <w:szCs w:val="32"/>
          <w:lang w:val="en-GB" w:eastAsia="zh-CN"/>
        </w:rPr>
        <w:t>研发生产</w:t>
      </w:r>
      <w:r>
        <w:rPr>
          <w:rFonts w:hint="default" w:ascii="Times New Roman" w:hAnsi="Times New Roman" w:eastAsia="仿宋_GB2312" w:cs="Times New Roman"/>
          <w:kern w:val="0"/>
          <w:sz w:val="32"/>
          <w:szCs w:val="32"/>
          <w:lang w:val="en-GB"/>
        </w:rPr>
        <w:t>效能的提升。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lang w:val="en-GB"/>
        </w:rPr>
      </w:pPr>
      <w:r>
        <w:rPr>
          <w:rStyle w:val="21"/>
          <w:rFonts w:hint="default" w:ascii="Times New Roman" w:hAnsi="Times New Roman" w:eastAsia="楷体_GB2312" w:cs="Times New Roman"/>
          <w:b w:val="0"/>
          <w:bCs w:val="0"/>
          <w:sz w:val="32"/>
          <w:szCs w:val="32"/>
          <w:lang w:val="en-GB" w:eastAsia="zh-CN" w:bidi="zh-CN"/>
        </w:rPr>
        <w:t>（三）鼓励产品创新与资本植入。</w:t>
      </w:r>
      <w:r>
        <w:rPr>
          <w:rFonts w:hint="eastAsia" w:ascii="仿宋_GB2312" w:hAnsi="仿宋_GB2312" w:eastAsia="仿宋_GB2312" w:cs="仿宋_GB2312"/>
          <w:kern w:val="0"/>
          <w:sz w:val="32"/>
          <w:szCs w:val="32"/>
          <w:lang w:val="en-GB"/>
        </w:rPr>
        <w:t>在“合规、风控”的前提下，平台联合医疗机构、科研院所开展新型器材产品研发线索挖掘，鼓励医疗器械注册持有人拿到许可证后展开资本运作，以获取更多资本研发设计新产品，确保产品在短期内实现研发、许可、上市、销售，满足市场消费需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 w:val="0"/>
          <w:bCs/>
          <w:color w:val="000000"/>
          <w:kern w:val="0"/>
          <w:sz w:val="32"/>
          <w:szCs w:val="32"/>
          <w:lang w:val="en-GB" w:eastAsia="zh-CN"/>
        </w:rPr>
      </w:pPr>
      <w:r>
        <w:rPr>
          <w:rFonts w:hint="default" w:ascii="Times New Roman" w:hAnsi="Times New Roman" w:eastAsia="黑体" w:cs="Times New Roman"/>
          <w:b w:val="0"/>
          <w:bCs/>
          <w:color w:val="000000"/>
          <w:kern w:val="0"/>
          <w:sz w:val="32"/>
          <w:szCs w:val="32"/>
          <w:lang w:val="en-GB" w:eastAsia="zh-CN"/>
        </w:rPr>
        <w:t>二、实践效果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lang w:val="en-GB"/>
        </w:rPr>
      </w:pPr>
      <w:r>
        <w:rPr>
          <w:rStyle w:val="21"/>
          <w:rFonts w:hint="default" w:ascii="Times New Roman" w:hAnsi="Times New Roman" w:eastAsia="楷体_GB2312" w:cs="Times New Roman"/>
          <w:b w:val="0"/>
          <w:bCs w:val="0"/>
          <w:sz w:val="32"/>
          <w:szCs w:val="32"/>
          <w:lang w:val="en-GB" w:eastAsia="zh-CN" w:bidi="zh-CN"/>
        </w:rPr>
        <w:t>（一）降低持有人经营成本。</w:t>
      </w:r>
      <w:r>
        <w:rPr>
          <w:rFonts w:hint="eastAsia" w:ascii="仿宋_GB2312" w:hAnsi="仿宋_GB2312" w:eastAsia="仿宋_GB2312" w:cs="仿宋_GB2312"/>
          <w:kern w:val="0"/>
          <w:sz w:val="32"/>
          <w:szCs w:val="32"/>
          <w:lang w:val="en-GB"/>
        </w:rPr>
        <w:t>共享GMP厂房</w:t>
      </w:r>
      <w:r>
        <w:rPr>
          <w:rFonts w:hint="eastAsia" w:ascii="仿宋_GB2312" w:hAnsi="仿宋_GB2312" w:eastAsia="仿宋_GB2312" w:cs="仿宋_GB2312"/>
          <w:kern w:val="0"/>
          <w:sz w:val="32"/>
          <w:szCs w:val="32"/>
          <w:lang w:val="en-GB" w:eastAsia="zh-CN"/>
        </w:rPr>
        <w:t>配备了</w:t>
      </w:r>
      <w:r>
        <w:rPr>
          <w:rFonts w:hint="eastAsia" w:ascii="仿宋_GB2312" w:hAnsi="仿宋_GB2312" w:eastAsia="仿宋_GB2312" w:cs="仿宋_GB2312"/>
          <w:kern w:val="0"/>
          <w:sz w:val="32"/>
          <w:szCs w:val="32"/>
          <w:lang w:val="en-GB"/>
        </w:rPr>
        <w:t>国内外先进的研发生产设备，相关持有人无需大量前期投入，便可开展医疗器械的研发、生产等，有效降低持有人的资金压力和初期投入。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kern w:val="0"/>
          <w:sz w:val="32"/>
          <w:szCs w:val="32"/>
          <w:lang w:val="en-GB"/>
        </w:rPr>
      </w:pPr>
      <w:r>
        <w:rPr>
          <w:rStyle w:val="21"/>
          <w:rFonts w:hint="default" w:ascii="Times New Roman" w:hAnsi="Times New Roman" w:eastAsia="楷体_GB2312" w:cs="Times New Roman"/>
          <w:b w:val="0"/>
          <w:bCs w:val="0"/>
          <w:sz w:val="32"/>
          <w:szCs w:val="32"/>
          <w:lang w:val="en-GB" w:eastAsia="zh-CN" w:bidi="zh-CN"/>
        </w:rPr>
        <w:t>（二）助推了成果快速转化。</w:t>
      </w:r>
      <w:r>
        <w:rPr>
          <w:rFonts w:hint="default" w:ascii="仿宋_GB2312" w:hAnsi="仿宋_GB2312" w:eastAsia="仿宋_GB2312" w:cs="仿宋_GB2312"/>
          <w:kern w:val="0"/>
          <w:sz w:val="32"/>
          <w:szCs w:val="32"/>
          <w:lang w:val="en-GB"/>
        </w:rPr>
        <w:t>平台建成运行以来，已完成分子诊断试剂科研成果转化7项，储备分子诊断试剂科研技术32项，并产出</w:t>
      </w:r>
      <w:r>
        <w:rPr>
          <w:rFonts w:hint="default" w:ascii="仿宋_GB2312" w:hAnsi="仿宋_GB2312" w:eastAsia="仿宋_GB2312" w:cs="仿宋_GB2312"/>
          <w:kern w:val="0"/>
          <w:sz w:val="32"/>
          <w:szCs w:val="32"/>
          <w:lang w:val="en-US" w:eastAsia="zh-CN"/>
        </w:rPr>
        <w:t>5</w:t>
      </w:r>
      <w:r>
        <w:rPr>
          <w:rFonts w:hint="default" w:ascii="仿宋_GB2312" w:hAnsi="仿宋_GB2312" w:eastAsia="仿宋_GB2312" w:cs="仿宋_GB2312"/>
          <w:kern w:val="0"/>
          <w:sz w:val="32"/>
          <w:szCs w:val="32"/>
          <w:lang w:val="en-GB"/>
        </w:rPr>
        <w:t>篇科技论文和</w:t>
      </w:r>
      <w:r>
        <w:rPr>
          <w:rFonts w:hint="default" w:ascii="仿宋_GB2312" w:hAnsi="仿宋_GB2312" w:eastAsia="仿宋_GB2312" w:cs="仿宋_GB2312"/>
          <w:kern w:val="0"/>
          <w:sz w:val="32"/>
          <w:szCs w:val="32"/>
          <w:lang w:val="en-US" w:eastAsia="zh-CN"/>
        </w:rPr>
        <w:t>5</w:t>
      </w:r>
      <w:r>
        <w:rPr>
          <w:rFonts w:hint="default" w:ascii="仿宋_GB2312" w:hAnsi="仿宋_GB2312" w:eastAsia="仿宋_GB2312" w:cs="仿宋_GB2312"/>
          <w:kern w:val="0"/>
          <w:sz w:val="32"/>
          <w:szCs w:val="32"/>
          <w:lang w:val="en-GB"/>
        </w:rPr>
        <w:t xml:space="preserve">项发明专利。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kern w:val="0"/>
          <w:sz w:val="32"/>
          <w:szCs w:val="32"/>
          <w:lang w:val="en-GB"/>
        </w:rPr>
      </w:pPr>
      <w:r>
        <w:rPr>
          <w:rStyle w:val="21"/>
          <w:rFonts w:hint="default" w:ascii="Times New Roman" w:hAnsi="Times New Roman" w:eastAsia="楷体_GB2312" w:cs="Times New Roman"/>
          <w:b w:val="0"/>
          <w:bCs w:val="0"/>
          <w:sz w:val="32"/>
          <w:szCs w:val="32"/>
          <w:lang w:val="en-GB" w:eastAsia="zh-CN" w:bidi="zh-CN"/>
        </w:rPr>
        <w:t>（三）实现良好的经济效益。</w:t>
      </w:r>
      <w:r>
        <w:rPr>
          <w:rFonts w:hint="default" w:ascii="仿宋_GB2312" w:hAnsi="仿宋_GB2312" w:eastAsia="仿宋_GB2312" w:cs="仿宋_GB2312"/>
          <w:kern w:val="0"/>
          <w:sz w:val="32"/>
          <w:szCs w:val="32"/>
          <w:lang w:val="en-GB"/>
        </w:rPr>
        <w:t>平台已有4项体外诊断试剂获批许可证并开展大规模的生产销售，相关体外诊断试剂产品销售量达200万份，并实现了450万美元的试剂出口。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 w:val="0"/>
          <w:bCs/>
          <w:color w:val="000000"/>
          <w:kern w:val="0"/>
          <w:sz w:val="32"/>
          <w:szCs w:val="32"/>
          <w:lang w:val="en-GB" w:eastAsia="zh-CN"/>
        </w:rPr>
      </w:pPr>
      <w:r>
        <w:rPr>
          <w:rFonts w:hint="default" w:ascii="Times New Roman" w:hAnsi="Times New Roman" w:eastAsia="黑体" w:cs="Times New Roman"/>
          <w:b w:val="0"/>
          <w:bCs/>
          <w:color w:val="000000"/>
          <w:kern w:val="0"/>
          <w:sz w:val="32"/>
          <w:szCs w:val="32"/>
          <w:lang w:val="en-GB" w:eastAsia="zh-CN"/>
        </w:rPr>
        <w:t>三、下一步工作思路</w:t>
      </w:r>
    </w:p>
    <w:p>
      <w:pPr>
        <w:pStyle w:val="19"/>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方正黑体_GBK" w:cs="Times New Roman"/>
          <w:kern w:val="0"/>
          <w:sz w:val="32"/>
          <w:szCs w:val="32"/>
          <w:lang w:val="en-GB" w:eastAsia="zh-CN"/>
        </w:rPr>
      </w:pPr>
      <w:r>
        <w:rPr>
          <w:rFonts w:hint="default" w:ascii="仿宋_GB2312" w:hAnsi="仿宋_GB2312" w:eastAsia="仿宋_GB2312" w:cs="仿宋_GB2312"/>
          <w:kern w:val="0"/>
          <w:sz w:val="32"/>
          <w:szCs w:val="32"/>
          <w:lang w:val="en-GB" w:eastAsia="zh-CN" w:bidi="ar-SA"/>
        </w:rPr>
        <w:t>下一步，陕西自贸试验区秦汉新城功能区将进一步提升研发技术支持和仪器设备配置，提高设计开发和生产环节效率，整合行业专业资源，集聚全球高端医疗研发人员，探索建立研发共同体，助力新型医疗器械研发成果早日上市，满足市场需求。</w:t>
      </w:r>
      <w:r>
        <w:rPr>
          <w:rFonts w:hint="default" w:ascii="Times New Roman" w:hAnsi="Times New Roman" w:eastAsia="仿宋_GB2312" w:cs="Times New Roman"/>
          <w:kern w:val="0"/>
          <w:sz w:val="32"/>
          <w:szCs w:val="32"/>
          <w:lang w:val="en-GB"/>
        </w:rPr>
        <w:t>（陕西自贸试验区秦汉新城功能区提供）</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kern w:val="0"/>
          <w:sz w:val="32"/>
          <w:szCs w:val="32"/>
          <w:lang w:val="en-GB" w:eastAsia="zh-CN" w:bidi="ar-SA"/>
        </w:rPr>
      </w:pPr>
    </w:p>
    <w:p>
      <w:pPr>
        <w:keepNext w:val="0"/>
        <w:keepLines w:val="0"/>
        <w:pageBreakBefore w:val="0"/>
        <w:widowControl w:val="0"/>
        <w:kinsoku/>
        <w:wordWrap/>
        <w:overflowPunct/>
        <w:topLinePunct w:val="0"/>
        <w:bidi w:val="0"/>
        <w:spacing w:line="560" w:lineRule="exact"/>
        <w:ind w:left="0" w:leftChars="0" w:right="0" w:rightChars="0" w:firstLine="0" w:firstLineChars="0"/>
        <w:jc w:val="both"/>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GB" w:eastAsia="zh-CN"/>
        </w:rPr>
        <w:t>案例</w:t>
      </w:r>
      <w:r>
        <w:rPr>
          <w:rFonts w:hint="default" w:ascii="Times New Roman" w:hAnsi="Times New Roman" w:eastAsia="黑体" w:cs="Times New Roman"/>
          <w:b w:val="0"/>
          <w:bCs w:val="0"/>
          <w:sz w:val="32"/>
          <w:szCs w:val="32"/>
          <w:lang w:val="en-US" w:eastAsia="zh-CN"/>
        </w:rPr>
        <w:t>15</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default" w:ascii="Times New Roman" w:hAnsi="Times New Roman" w:eastAsia="方正黑体_GBK" w:cs="Times New Roman"/>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default" w:ascii="Times New Roman" w:hAnsi="Times New Roman" w:eastAsia="方正小标宋简体" w:cs="Times New Roman"/>
          <w:b w:val="0"/>
          <w:bCs w:val="0"/>
          <w:color w:val="auto"/>
          <w:spacing w:val="0"/>
          <w:sz w:val="44"/>
          <w:szCs w:val="44"/>
          <w:lang w:val="en-US" w:eastAsia="zh-CN"/>
        </w:rPr>
      </w:pPr>
      <w:r>
        <w:rPr>
          <w:rFonts w:hint="default" w:ascii="Times New Roman" w:hAnsi="Times New Roman" w:eastAsia="方正小标宋简体" w:cs="Times New Roman"/>
          <w:b w:val="0"/>
          <w:bCs w:val="0"/>
          <w:color w:val="auto"/>
          <w:spacing w:val="0"/>
          <w:sz w:val="44"/>
          <w:szCs w:val="44"/>
          <w:lang w:val="en-US" w:eastAsia="zh-CN"/>
        </w:rPr>
        <w:t>产业招商导则助力精准化招商</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仿宋_GB2312" w:cs="Times New Roman"/>
          <w:kern w:val="0"/>
          <w:sz w:val="32"/>
          <w:szCs w:val="32"/>
          <w:lang w:val="en-US" w:eastAsia="zh-CN"/>
        </w:rPr>
      </w:pP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为提升产业链招引的针对性和精准度，韩城协同创新区联合市直产业主管部门及专业研究机构，围绕韩城“十四五”产业发展规划，精心编制《韩城市产业招商导则》，系统描绘产业现状、科学分析未来走向、细化论证产业类别、直接锚定目标地区、精准指向目标企业，为全市招引大项目好项目提供了精准“导航”，解决了“招什么、去哪招、怎么招”等问题，为韩城市产业高质量发展提供了有力支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 w:val="0"/>
          <w:bCs/>
          <w:color w:val="000000"/>
          <w:kern w:val="0"/>
          <w:sz w:val="32"/>
          <w:szCs w:val="32"/>
          <w:lang w:val="en-US" w:eastAsia="zh-CN"/>
        </w:rPr>
      </w:pPr>
      <w:r>
        <w:rPr>
          <w:rFonts w:hint="default" w:ascii="Times New Roman" w:hAnsi="Times New Roman" w:eastAsia="黑体" w:cs="Times New Roman"/>
          <w:b w:val="0"/>
          <w:bCs/>
          <w:color w:val="000000"/>
          <w:kern w:val="0"/>
          <w:sz w:val="32"/>
          <w:szCs w:val="32"/>
          <w:lang w:val="en-US" w:eastAsia="zh-CN"/>
        </w:rPr>
        <w:t>一、基本内容</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产业招商导则由韩城现有产业格局、“十四五”产业发展规划、产业招引方向、园区产业规划布局、招引行业产业细分、重点招商区域产业分布情况、重点企业名录7部分构成，主要包括以下内容：</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仿宋_GB2312" w:cs="Times New Roman"/>
          <w:kern w:val="0"/>
          <w:sz w:val="32"/>
          <w:szCs w:val="32"/>
          <w:lang w:val="en-US" w:eastAsia="zh-CN"/>
        </w:rPr>
      </w:pPr>
      <w:r>
        <w:rPr>
          <w:rFonts w:hint="eastAsia" w:ascii="楷体" w:hAnsi="楷体" w:eastAsia="楷体" w:cs="楷体"/>
          <w:b w:val="0"/>
          <w:bCs w:val="0"/>
          <w:kern w:val="0"/>
          <w:sz w:val="32"/>
          <w:szCs w:val="32"/>
          <w:lang w:val="en-US" w:eastAsia="zh-CN"/>
        </w:rPr>
        <w:t>一是韩城现有产业格局。</w:t>
      </w:r>
      <w:r>
        <w:rPr>
          <w:rFonts w:hint="default" w:ascii="Times New Roman" w:hAnsi="Times New Roman" w:eastAsia="仿宋_GB2312" w:cs="Times New Roman"/>
          <w:kern w:val="0"/>
          <w:sz w:val="32"/>
          <w:szCs w:val="32"/>
          <w:lang w:val="en-US" w:eastAsia="zh-CN"/>
        </w:rPr>
        <w:t>系统介绍了韩城市农业、工业和现代服务业的发展情况，重点推介花椒种植、钢铁、新能源、文化旅游等特色优势产业。</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lang w:val="en-US" w:eastAsia="zh-CN"/>
        </w:rPr>
      </w:pPr>
      <w:r>
        <w:rPr>
          <w:rFonts w:hint="default" w:ascii="楷体" w:hAnsi="楷体" w:eastAsia="楷体" w:cs="楷体"/>
          <w:b w:val="0"/>
          <w:bCs w:val="0"/>
          <w:kern w:val="0"/>
          <w:sz w:val="32"/>
          <w:szCs w:val="32"/>
          <w:lang w:val="en-US" w:eastAsia="zh-CN"/>
        </w:rPr>
        <w:t>二是“十四五”产业发展规划。</w:t>
      </w:r>
      <w:r>
        <w:rPr>
          <w:rFonts w:hint="eastAsia" w:ascii="仿宋_GB2312" w:hAnsi="仿宋_GB2312" w:eastAsia="仿宋_GB2312" w:cs="仿宋_GB2312"/>
          <w:b w:val="0"/>
          <w:bCs w:val="0"/>
          <w:kern w:val="0"/>
          <w:sz w:val="32"/>
          <w:szCs w:val="32"/>
          <w:lang w:val="en-US" w:eastAsia="zh-CN"/>
        </w:rPr>
        <w:t>介绍了韩城市“十四五”产业发展规划基本情况，</w:t>
      </w:r>
      <w:r>
        <w:rPr>
          <w:rFonts w:hint="eastAsia" w:ascii="仿宋_GB2312" w:hAnsi="仿宋_GB2312" w:eastAsia="仿宋_GB2312" w:cs="仿宋_GB2312"/>
          <w:kern w:val="0"/>
          <w:sz w:val="32"/>
          <w:szCs w:val="32"/>
          <w:lang w:val="en-US" w:eastAsia="zh-CN"/>
        </w:rPr>
        <w:t>确立了“农业打底子、工业长个子、服务业填格子、文旅业增面子”的总体产业发展思路。</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仿宋_GB2312" w:cs="Times New Roman"/>
          <w:kern w:val="0"/>
          <w:sz w:val="32"/>
          <w:szCs w:val="32"/>
          <w:lang w:val="en-US" w:eastAsia="zh-CN"/>
        </w:rPr>
      </w:pPr>
      <w:r>
        <w:rPr>
          <w:rFonts w:hint="default" w:ascii="楷体" w:hAnsi="楷体" w:eastAsia="楷体" w:cs="楷体"/>
          <w:b w:val="0"/>
          <w:bCs w:val="0"/>
          <w:kern w:val="0"/>
          <w:sz w:val="32"/>
          <w:szCs w:val="32"/>
          <w:lang w:val="en-US" w:eastAsia="zh-CN"/>
        </w:rPr>
        <w:t>三是产业招引方向。</w:t>
      </w:r>
      <w:r>
        <w:rPr>
          <w:rFonts w:hint="default" w:ascii="Times New Roman" w:hAnsi="Times New Roman" w:eastAsia="仿宋_GB2312" w:cs="Times New Roman"/>
          <w:b w:val="0"/>
          <w:bCs w:val="0"/>
          <w:kern w:val="0"/>
          <w:sz w:val="32"/>
          <w:szCs w:val="32"/>
          <w:lang w:val="en-US" w:eastAsia="zh-CN"/>
        </w:rPr>
        <w:t>明确韩城市在农业、工业和服务业领域的产业发展目标、产业链条和重点招引方向</w:t>
      </w:r>
      <w:r>
        <w:rPr>
          <w:rFonts w:hint="default" w:ascii="Times New Roman" w:hAnsi="Times New Roman" w:eastAsia="仿宋_GB2312" w:cs="Times New Roman"/>
          <w:kern w:val="0"/>
          <w:sz w:val="32"/>
          <w:szCs w:val="32"/>
          <w:lang w:val="en-US" w:eastAsia="zh-CN"/>
        </w:rPr>
        <w:t>，推动相关产业向价值链高端延伸。</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仿宋_GB2312" w:cs="Times New Roman"/>
          <w:kern w:val="0"/>
          <w:sz w:val="32"/>
          <w:szCs w:val="32"/>
          <w:lang w:val="en-US" w:eastAsia="zh-CN"/>
        </w:rPr>
      </w:pPr>
      <w:r>
        <w:rPr>
          <w:rFonts w:hint="default" w:ascii="楷体" w:hAnsi="楷体" w:eastAsia="楷体" w:cs="楷体"/>
          <w:b w:val="0"/>
          <w:bCs w:val="0"/>
          <w:kern w:val="0"/>
          <w:sz w:val="32"/>
          <w:szCs w:val="32"/>
          <w:lang w:val="en-US" w:eastAsia="zh-CN"/>
        </w:rPr>
        <w:t>四是园区产业规划布局。</w:t>
      </w:r>
      <w:r>
        <w:rPr>
          <w:rFonts w:hint="default" w:ascii="Times New Roman" w:hAnsi="Times New Roman" w:eastAsia="仿宋_GB2312" w:cs="Times New Roman"/>
          <w:kern w:val="0"/>
          <w:sz w:val="32"/>
          <w:szCs w:val="32"/>
          <w:lang w:val="en-US" w:eastAsia="zh-CN"/>
        </w:rPr>
        <w:t>重点介绍经开区、高新区、农产品加工园区的空间格局、园区定位、产业布局等，吸引相关项目落地。</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lang w:val="en-US" w:eastAsia="zh-CN"/>
        </w:rPr>
      </w:pPr>
      <w:r>
        <w:rPr>
          <w:rFonts w:hint="default" w:ascii="楷体" w:hAnsi="楷体" w:eastAsia="楷体" w:cs="楷体"/>
          <w:b w:val="0"/>
          <w:bCs w:val="0"/>
          <w:kern w:val="0"/>
          <w:sz w:val="32"/>
          <w:szCs w:val="32"/>
          <w:lang w:val="en-US" w:eastAsia="zh-CN"/>
        </w:rPr>
        <w:t>五是招引行业产业细分。</w:t>
      </w:r>
      <w:r>
        <w:rPr>
          <w:rFonts w:hint="eastAsia" w:ascii="仿宋_GB2312" w:hAnsi="仿宋_GB2312" w:eastAsia="仿宋_GB2312" w:cs="仿宋_GB2312"/>
          <w:kern w:val="0"/>
          <w:sz w:val="32"/>
          <w:szCs w:val="32"/>
          <w:lang w:val="en-US" w:eastAsia="zh-CN"/>
        </w:rPr>
        <w:t>按照国民经济行业分类原则，共梳理出韩城产业下一步发展方向的14个大类、37个小类，既包括了钢铁等优势产业的下游产业链延伸，又涵盖了氢燃料电池车整车制造等未来新兴产业。</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仿宋_GB2312" w:cs="Times New Roman"/>
          <w:kern w:val="0"/>
          <w:sz w:val="32"/>
          <w:szCs w:val="32"/>
          <w:lang w:val="en-US" w:eastAsia="zh-CN"/>
        </w:rPr>
      </w:pPr>
      <w:r>
        <w:rPr>
          <w:rFonts w:hint="default" w:ascii="楷体" w:hAnsi="楷体" w:eastAsia="楷体" w:cs="楷体"/>
          <w:b w:val="0"/>
          <w:bCs w:val="0"/>
          <w:kern w:val="0"/>
          <w:sz w:val="32"/>
          <w:szCs w:val="32"/>
          <w:lang w:val="en-US" w:eastAsia="zh-CN"/>
        </w:rPr>
        <w:t>六是重点招商区域产业分布情况。</w:t>
      </w:r>
      <w:r>
        <w:rPr>
          <w:rFonts w:hint="default" w:ascii="Times New Roman" w:hAnsi="Times New Roman" w:eastAsia="仿宋_GB2312" w:cs="Times New Roman"/>
          <w:kern w:val="0"/>
          <w:sz w:val="32"/>
          <w:szCs w:val="32"/>
          <w:lang w:val="en-US" w:eastAsia="zh-CN"/>
        </w:rPr>
        <w:t>梳理出了京津冀、长三角、大湾区、川渝等四大区域的优势产业分布，对北京、天津、上海、苏州、广州、成都等重点城市的产业分布进行了细化归类。</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lang w:val="en-US" w:eastAsia="zh-CN"/>
        </w:rPr>
      </w:pPr>
      <w:r>
        <w:rPr>
          <w:rFonts w:hint="default" w:ascii="楷体" w:hAnsi="楷体" w:eastAsia="楷体" w:cs="楷体"/>
          <w:b w:val="0"/>
          <w:bCs w:val="0"/>
          <w:kern w:val="0"/>
          <w:sz w:val="32"/>
          <w:szCs w:val="32"/>
          <w:lang w:val="en-US" w:eastAsia="zh-CN"/>
        </w:rPr>
        <w:t>七是重点企业名录。</w:t>
      </w:r>
      <w:r>
        <w:rPr>
          <w:rFonts w:hint="eastAsia" w:ascii="仿宋_GB2312" w:hAnsi="仿宋_GB2312" w:eastAsia="仿宋_GB2312" w:cs="仿宋_GB2312"/>
          <w:kern w:val="0"/>
          <w:sz w:val="32"/>
          <w:szCs w:val="32"/>
          <w:lang w:val="en-US" w:eastAsia="zh-CN"/>
        </w:rPr>
        <w:t>针对重点区域的重点城市，整理出160余家行业龙头、专精特新、小巨人、隐形冠军类企业，为下一步招引工作打下了坚实的基础。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 w:val="0"/>
          <w:bCs/>
          <w:color w:val="000000"/>
          <w:kern w:val="0"/>
          <w:sz w:val="32"/>
          <w:szCs w:val="32"/>
          <w:lang w:val="en-US" w:eastAsia="zh-CN"/>
        </w:rPr>
      </w:pPr>
      <w:r>
        <w:rPr>
          <w:rFonts w:hint="default" w:ascii="Times New Roman" w:hAnsi="Times New Roman" w:eastAsia="黑体" w:cs="Times New Roman"/>
          <w:b w:val="0"/>
          <w:bCs/>
          <w:color w:val="000000"/>
          <w:kern w:val="0"/>
          <w:sz w:val="32"/>
          <w:szCs w:val="32"/>
          <w:lang w:val="en-US" w:eastAsia="zh-CN"/>
        </w:rPr>
        <w:t>二、主要做法</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仿宋_GB2312" w:cs="Times New Roman"/>
          <w:kern w:val="0"/>
          <w:sz w:val="32"/>
          <w:szCs w:val="32"/>
          <w:lang w:val="en-US" w:eastAsia="zh-CN"/>
        </w:rPr>
      </w:pPr>
      <w:r>
        <w:rPr>
          <w:rFonts w:hint="default" w:ascii="楷体" w:hAnsi="楷体" w:eastAsia="楷体" w:cs="楷体"/>
          <w:b w:val="0"/>
          <w:bCs w:val="0"/>
          <w:kern w:val="0"/>
          <w:sz w:val="32"/>
          <w:szCs w:val="32"/>
          <w:lang w:val="en-US" w:eastAsia="zh-CN"/>
        </w:rPr>
        <w:t>一是创新体制机制促招商。</w:t>
      </w:r>
      <w:r>
        <w:rPr>
          <w:rFonts w:hint="default" w:ascii="Times New Roman" w:hAnsi="Times New Roman" w:eastAsia="仿宋_GB2312" w:cs="Times New Roman"/>
          <w:kern w:val="0"/>
          <w:sz w:val="32"/>
          <w:szCs w:val="32"/>
          <w:lang w:val="en-US" w:eastAsia="zh-CN"/>
        </w:rPr>
        <w:t>针对产业招商导则明确的重点企业，建立招商项目经理制，全面落实招引责任，确保一个项目一套档案，提升招引成效。建立常态化项目回访机制，及时协调解决招引项目存在问题，促进项目顺利推进落地。出台《韩城市招商引资领域审慎承诺及刚性兑现制》，做到所有承诺必集体决策，所有承诺必严格兑现，不断提升招商公信力。</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0"/>
          <w:sz w:val="32"/>
          <w:szCs w:val="32"/>
          <w:lang w:val="en-US" w:eastAsia="zh-CN"/>
        </w:rPr>
      </w:pPr>
      <w:r>
        <w:rPr>
          <w:rFonts w:hint="default" w:ascii="楷体" w:hAnsi="楷体" w:eastAsia="楷体" w:cs="楷体"/>
          <w:b w:val="0"/>
          <w:bCs w:val="0"/>
          <w:kern w:val="0"/>
          <w:sz w:val="32"/>
          <w:szCs w:val="32"/>
          <w:lang w:val="en-US" w:eastAsia="zh-CN"/>
        </w:rPr>
        <w:t>二是打造专业队伍促招商。</w:t>
      </w:r>
      <w:r>
        <w:rPr>
          <w:rFonts w:hint="eastAsia" w:ascii="仿宋_GB2312" w:hAnsi="仿宋_GB2312" w:eastAsia="仿宋_GB2312" w:cs="仿宋_GB2312"/>
          <w:kern w:val="0"/>
          <w:sz w:val="32"/>
          <w:szCs w:val="32"/>
          <w:lang w:val="en-US" w:eastAsia="zh-CN"/>
        </w:rPr>
        <w:t>以产业招商导则为指导，组建以经合中心、经开区、高新区、农产品加工园区、三大市属国有企业为主体的1+3+3专业招商队伍，成立七支产业链招商“小分队”。精心筛选梳理投资额度大、示范作用强的项目线索，由市委、市政府主要领导带队招商，提升项目洽谈交流深度。</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kern w:val="0"/>
          <w:sz w:val="32"/>
          <w:szCs w:val="32"/>
          <w:lang w:val="en-US" w:eastAsia="zh-CN"/>
        </w:rPr>
      </w:pPr>
      <w:r>
        <w:rPr>
          <w:rFonts w:hint="default" w:ascii="楷体" w:hAnsi="楷体" w:eastAsia="楷体" w:cs="楷体"/>
          <w:b w:val="0"/>
          <w:bCs w:val="0"/>
          <w:kern w:val="0"/>
          <w:sz w:val="32"/>
          <w:szCs w:val="32"/>
          <w:lang w:val="en-US" w:eastAsia="zh-CN"/>
        </w:rPr>
        <w:t>三是设立驻外机构促招商。</w:t>
      </w:r>
      <w:r>
        <w:rPr>
          <w:rFonts w:hint="default" w:ascii="Times New Roman" w:hAnsi="Times New Roman" w:eastAsia="仿宋_GB2312" w:cs="Times New Roman"/>
          <w:kern w:val="0"/>
          <w:sz w:val="32"/>
          <w:szCs w:val="32"/>
          <w:lang w:val="en-US" w:eastAsia="zh-CN"/>
        </w:rPr>
        <w:t>围绕产业招商导则明确的重点区域，在京津冀、长三角、粤港澳大湾区、西安开展驻外招商，挂牌设立驻大湾区（珠海）招商服务处、驻长三角（南京）招商服务处等驻点机构，强化与经济发达地区纽带联系，便利招引一批与韩城市产业关联性强、产业链长、附加值高的大项目、好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 w:val="0"/>
          <w:bCs/>
          <w:color w:val="000000"/>
          <w:kern w:val="0"/>
          <w:sz w:val="32"/>
          <w:szCs w:val="32"/>
          <w:lang w:val="en-US" w:eastAsia="zh-CN"/>
        </w:rPr>
      </w:pPr>
      <w:r>
        <w:rPr>
          <w:rFonts w:hint="default" w:ascii="Times New Roman" w:hAnsi="Times New Roman" w:eastAsia="黑体" w:cs="Times New Roman"/>
          <w:b w:val="0"/>
          <w:bCs/>
          <w:color w:val="000000"/>
          <w:kern w:val="0"/>
          <w:sz w:val="32"/>
          <w:szCs w:val="32"/>
          <w:lang w:val="en-US" w:eastAsia="zh-CN"/>
        </w:rPr>
        <w:t>三、实践效果</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2021年，韩城市全年新签招商引资项目87个，总投资813.3亿元，引进资金351.5亿元，合同项目开工率60%。促成总投资78亿元的1000兆瓦光伏、120兆瓦风电项目，总投资42.7亿元的西部新能源智能商用车生产制造（韩城）基地及产业配套项目，总投资6.3亿元的清洁能源供暖替代项目等一批促转型、利长远的重大项目顺利落地，招商引资成效显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b w:val="0"/>
          <w:bCs/>
          <w:color w:val="000000"/>
          <w:kern w:val="0"/>
          <w:sz w:val="32"/>
          <w:szCs w:val="32"/>
          <w:lang w:val="en-US" w:eastAsia="zh-CN"/>
        </w:rPr>
      </w:pPr>
      <w:r>
        <w:rPr>
          <w:rFonts w:hint="default" w:ascii="Times New Roman" w:hAnsi="Times New Roman" w:eastAsia="黑体" w:cs="Times New Roman"/>
          <w:b w:val="0"/>
          <w:bCs/>
          <w:color w:val="000000"/>
          <w:kern w:val="0"/>
          <w:sz w:val="32"/>
          <w:szCs w:val="32"/>
          <w:lang w:val="en-US" w:eastAsia="zh-CN"/>
        </w:rPr>
        <w:t>四、下一步工作思路</w:t>
      </w:r>
    </w:p>
    <w:p>
      <w:pPr>
        <w:pStyle w:val="19"/>
        <w:keepNext w:val="0"/>
        <w:keepLines w:val="0"/>
        <w:pageBreakBefore w:val="0"/>
        <w:widowControl w:val="0"/>
        <w:kinsoku/>
        <w:wordWrap/>
        <w:overflowPunct/>
        <w:topLinePunct w:val="0"/>
        <w:bidi w:val="0"/>
        <w:spacing w:line="560" w:lineRule="exac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下一步，韩城市将进一步加大与自贸试验区各片区的创新协同开放协同和产业协同，抢抓“秦创原”建设机遇，持续优化产业招商导则，引进一批重点项目，推动韩城协同创新区与自贸试验区产业融合发展、错位发展，充分发挥对全省开放型经济的引领示范带动作用，助力全省经济高质量发展。</w:t>
      </w:r>
    </w:p>
    <w:p>
      <w:pPr>
        <w:pStyle w:val="19"/>
        <w:keepNext w:val="0"/>
        <w:keepLines w:val="0"/>
        <w:pageBreakBefore w:val="0"/>
        <w:widowControl w:val="0"/>
        <w:kinsoku/>
        <w:wordWrap/>
        <w:overflowPunct/>
        <w:topLinePunct w:val="0"/>
        <w:bidi w:val="0"/>
        <w:spacing w:line="560" w:lineRule="exact"/>
        <w:ind w:left="0" w:leftChars="0" w:firstLine="0" w:firstLineChars="0"/>
        <w:jc w:val="right"/>
        <w:rPr>
          <w:rFonts w:hint="default"/>
          <w:lang w:val="en-US" w:eastAsia="zh-CN"/>
        </w:rPr>
      </w:pPr>
      <w:r>
        <w:rPr>
          <w:rFonts w:hint="eastAsia" w:ascii="仿宋_GB2312" w:hAnsi="仿宋_GB2312" w:eastAsia="仿宋_GB2312" w:cs="仿宋_GB2312"/>
          <w:kern w:val="0"/>
          <w:sz w:val="32"/>
          <w:szCs w:val="32"/>
          <w:lang w:val="en-US" w:eastAsia="zh-CN"/>
        </w:rPr>
        <w:t>（韩城协同创新区提供）</w:t>
      </w: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outlineLvl w:val="9"/>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outlineLvl w:val="9"/>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outlineLvl w:val="9"/>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outlineLvl w:val="9"/>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outlineLvl w:val="9"/>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outlineLvl w:val="9"/>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outlineLvl w:val="9"/>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textAlignment w:val="auto"/>
        <w:outlineLvl w:val="9"/>
        <w:rPr>
          <w:rFonts w:hint="default" w:ascii="Times New Roman" w:hAnsi="Times New Roman" w:eastAsia="仿宋" w:cs="Times New Roman"/>
          <w:sz w:val="32"/>
          <w:szCs w:val="32"/>
          <w:lang w:val="en-US" w:eastAsia="zh-CN"/>
        </w:rPr>
      </w:pPr>
    </w:p>
    <w:p/>
    <w:sectPr>
      <w:pgSz w:w="11906" w:h="16838"/>
      <w:pgMar w:top="1984" w:right="1701" w:bottom="1701"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TT10Do00">
    <w:altName w:val="微软雅黑"/>
    <w:panose1 w:val="00000000000000000000"/>
    <w:charset w:val="00"/>
    <w:family w:val="auto"/>
    <w:pitch w:val="default"/>
    <w:sig w:usb0="00000000" w:usb1="00000000" w:usb2="00000000" w:usb3="00000000" w:csb0="00040001"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仿宋_GB2312">
    <w:altName w:val="仿宋"/>
    <w:panose1 w:val="00000000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00000287" w:usb1="080F0000" w:usb2="00000000" w:usb3="00000000" w:csb0="0004009F" w:csb1="DFD70000"/>
  </w:font>
  <w:font w:name="方正黑体_GBK">
    <w:altName w:val="微软雅黑"/>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8"/>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r>
                            <w:rPr>
                              <w:rFonts w:hint="eastAsia" w:eastAsia="宋体"/>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BMUE45GQIAACEEAAAOAAAA&#10;AAAAAAEAIAAAAB8BAABkcnMvZTJvRG9jLnhtbFBLBQYAAAAABgAGAFkBAACqBQ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r>
                      <w:rPr>
                        <w:rFonts w:hint="eastAsia" w:eastAsia="宋体"/>
                        <w:lang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FE78E5"/>
    <w:rsid w:val="53E96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kern w:val="44"/>
      <w:sz w:val="44"/>
      <w:szCs w:val="44"/>
    </w:rPr>
  </w:style>
  <w:style w:type="character" w:default="1" w:styleId="13">
    <w:name w:val="Default Paragraph Font"/>
    <w:link w:val="14"/>
    <w:semiHidden/>
    <w:uiPriority w:val="0"/>
  </w:style>
  <w:style w:type="table" w:default="1" w:styleId="12">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4">
    <w:name w:val="index 5"/>
    <w:basedOn w:val="1"/>
    <w:next w:val="1"/>
    <w:semiHidden/>
    <w:qFormat/>
    <w:uiPriority w:val="99"/>
    <w:pPr>
      <w:spacing w:line="576" w:lineRule="exact"/>
    </w:pPr>
    <w:rPr>
      <w:rFonts w:ascii="仿宋_GB2312" w:hAnsi="仿宋_GB2312" w:eastAsia="黑体" w:cs="仿宋_GB2312"/>
      <w:color w:val="FF0000"/>
    </w:rPr>
  </w:style>
  <w:style w:type="paragraph" w:styleId="5">
    <w:name w:val="Body Text"/>
    <w:basedOn w:val="1"/>
    <w:next w:val="4"/>
    <w:qFormat/>
    <w:uiPriority w:val="0"/>
    <w:pPr>
      <w:widowControl w:val="0"/>
      <w:spacing w:after="120" w:line="240" w:lineRule="auto"/>
      <w:jc w:val="both"/>
    </w:pPr>
    <w:rPr>
      <w:rFonts w:ascii="Calibri" w:hAnsi="Calibri" w:eastAsia="宋体" w:cs="Times New Roman"/>
      <w:kern w:val="2"/>
      <w:sz w:val="21"/>
      <w:lang w:val="en-US"/>
    </w:rPr>
  </w:style>
  <w:style w:type="paragraph" w:styleId="6">
    <w:name w:val="Body Text Indent"/>
    <w:basedOn w:val="1"/>
    <w:next w:val="1"/>
    <w:uiPriority w:val="0"/>
    <w:pPr>
      <w:ind w:firstLine="630"/>
    </w:pPr>
    <w:rPr>
      <w:rFonts w:eastAsia="仿宋_GB2312"/>
      <w:b/>
      <w:sz w:val="32"/>
    </w:rPr>
  </w:style>
  <w:style w:type="paragraph" w:styleId="7">
    <w:name w:val="Body Text Indent 2"/>
    <w:basedOn w:val="1"/>
    <w:uiPriority w:val="0"/>
    <w:pPr>
      <w:spacing w:after="120" w:afterLines="0" w:line="480" w:lineRule="auto"/>
      <w:ind w:left="420" w:leftChars="200"/>
    </w:p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uiPriority w:val="0"/>
    <w:pPr>
      <w:spacing w:before="100" w:beforeAutospacing="1" w:after="100" w:afterAutospacing="1"/>
      <w:ind w:left="0" w:right="0"/>
      <w:jc w:val="left"/>
    </w:pPr>
    <w:rPr>
      <w:kern w:val="0"/>
      <w:sz w:val="24"/>
      <w:lang w:val="en-US" w:eastAsia="zh-CN" w:bidi="ar"/>
    </w:rPr>
  </w:style>
  <w:style w:type="paragraph" w:styleId="11">
    <w:name w:val="Body Text First Indent 2"/>
    <w:basedOn w:val="6"/>
    <w:qFormat/>
    <w:uiPriority w:val="0"/>
    <w:pPr>
      <w:ind w:firstLine="420" w:firstLineChars="200"/>
    </w:pPr>
    <w:rPr>
      <w:rFonts w:cs="Times New Roman"/>
    </w:rPr>
  </w:style>
  <w:style w:type="paragraph" w:customStyle="1" w:styleId="14">
    <w:name w:val=" Char Char Char Char Char Char Char"/>
    <w:basedOn w:val="1"/>
    <w:link w:val="13"/>
    <w:qFormat/>
    <w:uiPriority w:val="0"/>
    <w:pPr>
      <w:snapToGrid w:val="0"/>
      <w:spacing w:line="360" w:lineRule="auto"/>
      <w:ind w:firstLine="200" w:firstLineChars="200"/>
    </w:pPr>
  </w:style>
  <w:style w:type="character" w:styleId="15">
    <w:name w:val="page number"/>
    <w:basedOn w:val="13"/>
    <w:qFormat/>
    <w:uiPriority w:val="0"/>
  </w:style>
  <w:style w:type="character" w:styleId="16">
    <w:name w:val="FollowedHyperlink"/>
    <w:basedOn w:val="13"/>
    <w:uiPriority w:val="0"/>
    <w:rPr>
      <w:rFonts w:cs="Times New Roman"/>
      <w:color w:val="954F72"/>
      <w:u w:val="single"/>
    </w:rPr>
  </w:style>
  <w:style w:type="paragraph" w:customStyle="1" w:styleId="17">
    <w:name w:val="正文样式"/>
    <w:basedOn w:val="1"/>
    <w:qFormat/>
    <w:uiPriority w:val="7"/>
    <w:pPr>
      <w:ind w:firstLine="480" w:firstLineChars="200"/>
    </w:pPr>
    <w:rPr>
      <w:sz w:val="24"/>
      <w:szCs w:val="24"/>
    </w:rPr>
  </w:style>
  <w:style w:type="paragraph" w:customStyle="1" w:styleId="18">
    <w:name w:val="Normal Indent"/>
    <w:basedOn w:val="1"/>
    <w:qFormat/>
    <w:uiPriority w:val="0"/>
    <w:pPr>
      <w:ind w:firstLine="200" w:firstLineChars="200"/>
    </w:pPr>
    <w:rPr>
      <w:rFonts w:eastAsia="楷体_GB2312"/>
    </w:rPr>
  </w:style>
  <w:style w:type="paragraph" w:customStyle="1" w:styleId="19">
    <w:name w:val="正文缩进1"/>
    <w:basedOn w:val="1"/>
    <w:qFormat/>
    <w:uiPriority w:val="0"/>
    <w:pPr>
      <w:ind w:firstLine="200" w:firstLineChars="200"/>
    </w:pPr>
    <w:rPr>
      <w:rFonts w:eastAsia="楷体_GB2312"/>
    </w:rPr>
  </w:style>
  <w:style w:type="character" w:customStyle="1" w:styleId="20">
    <w:name w:val="fontstyle01"/>
    <w:basedOn w:val="13"/>
    <w:qFormat/>
    <w:uiPriority w:val="0"/>
    <w:rPr>
      <w:rFonts w:ascii="TT10Do00" w:hAnsi="TT10Do00" w:eastAsia="TT10Do00" w:cs="TT10Do00"/>
      <w:color w:val="000000"/>
      <w:sz w:val="28"/>
      <w:szCs w:val="28"/>
    </w:rPr>
  </w:style>
  <w:style w:type="character" w:customStyle="1" w:styleId="21">
    <w:name w:val="NormalCharacter"/>
    <w:link w:val="22"/>
    <w:semiHidden/>
    <w:qFormat/>
    <w:uiPriority w:val="0"/>
  </w:style>
  <w:style w:type="paragraph" w:customStyle="1" w:styleId="22">
    <w:name w:val="UserStyle_45"/>
    <w:basedOn w:val="1"/>
    <w:link w:val="21"/>
    <w:qFormat/>
    <w:uiPriority w:val="0"/>
    <w:pPr>
      <w:widowControl/>
      <w:spacing w:after="160" w:line="240" w:lineRule="exact"/>
      <w:jc w:val="left"/>
      <w:textAlignment w:val="baseline"/>
    </w:pPr>
  </w:style>
  <w:style w:type="paragraph" w:customStyle="1" w:styleId="23">
    <w:name w:val="列出段落1"/>
    <w:basedOn w:val="1"/>
    <w:qFormat/>
    <w:uiPriority w:val="0"/>
    <w:pPr>
      <w:ind w:firstLine="20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2023-01-12T09:07:00Z</dcterms:created>
  <dc:creator>yu123</dc:creator>
  <cp:lastModifiedBy>yu123</cp:lastModifiedBy>
  <dcterms:modified xsi:type="dcterms:W3CDTF">2023-01-13T02:04:00Z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